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0" w:rsidRPr="0076509C" w:rsidRDefault="004B02EA" w:rsidP="00204EA0">
      <w:pPr>
        <w:tabs>
          <w:tab w:val="left" w:pos="6220"/>
        </w:tabs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1238250" cy="9286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2EA" w:rsidRDefault="004B02EA" w:rsidP="00204EA0">
      <w:pPr>
        <w:tabs>
          <w:tab w:val="left" w:pos="6220"/>
        </w:tabs>
        <w:jc w:val="center"/>
        <w:rPr>
          <w:b/>
          <w:noProof/>
          <w:u w:val="single"/>
          <w:lang w:eastAsia="en-GB"/>
        </w:rPr>
      </w:pPr>
    </w:p>
    <w:p w:rsidR="004B02EA" w:rsidRPr="004B02EA" w:rsidRDefault="004B02EA" w:rsidP="00204EA0">
      <w:pPr>
        <w:tabs>
          <w:tab w:val="left" w:pos="6220"/>
        </w:tabs>
        <w:jc w:val="center"/>
        <w:rPr>
          <w:b/>
          <w:noProof/>
          <w:sz w:val="18"/>
          <w:u w:val="single"/>
          <w:lang w:eastAsia="en-GB"/>
        </w:rPr>
      </w:pPr>
    </w:p>
    <w:p w:rsidR="00204EA0" w:rsidRPr="004B02EA" w:rsidRDefault="00974805" w:rsidP="00204EA0">
      <w:pPr>
        <w:tabs>
          <w:tab w:val="left" w:pos="6220"/>
        </w:tabs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Equal Opportunities</w:t>
      </w:r>
      <w:r w:rsidR="00046DC5">
        <w:rPr>
          <w:b/>
          <w:noProof/>
          <w:lang w:eastAsia="en-GB"/>
        </w:rPr>
        <w:t xml:space="preserve"> Policy</w:t>
      </w:r>
    </w:p>
    <w:p w:rsidR="00204EA0" w:rsidRDefault="00204EA0" w:rsidP="00204EA0">
      <w:pPr>
        <w:tabs>
          <w:tab w:val="left" w:pos="6220"/>
        </w:tabs>
        <w:jc w:val="center"/>
        <w:rPr>
          <w:b/>
          <w:noProof/>
          <w:lang w:eastAsia="en-GB"/>
        </w:rPr>
      </w:pPr>
    </w:p>
    <w:p w:rsidR="00974805" w:rsidRDefault="00974805" w:rsidP="003C21B3">
      <w:pPr>
        <w:spacing w:after="120"/>
        <w:ind w:left="0" w:firstLine="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Seaford Town Council’s aim is to ensure that all its employees, councillors, job applicants and individuals and organisations worked with, are treated equally.</w:t>
      </w:r>
      <w:r w:rsidR="008A21EB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The Town Council will ensure that every aspect of its governance and operation promotes equality of opportunity.</w:t>
      </w:r>
    </w:p>
    <w:p w:rsidR="00974805" w:rsidRPr="00974805" w:rsidRDefault="00974805" w:rsidP="00974805">
      <w:pPr>
        <w:pStyle w:val="ListParagraph"/>
        <w:numPr>
          <w:ilvl w:val="0"/>
          <w:numId w:val="3"/>
        </w:numPr>
        <w:spacing w:after="120"/>
        <w:jc w:val="both"/>
        <w:rPr>
          <w:rFonts w:cs="Calibri"/>
          <w:b/>
          <w:color w:val="000000"/>
          <w:sz w:val="22"/>
          <w:szCs w:val="22"/>
        </w:rPr>
      </w:pPr>
      <w:r w:rsidRPr="00974805">
        <w:rPr>
          <w:rFonts w:cs="Calibri"/>
          <w:b/>
          <w:color w:val="000000"/>
          <w:sz w:val="22"/>
          <w:szCs w:val="22"/>
        </w:rPr>
        <w:t>Legislation</w:t>
      </w:r>
    </w:p>
    <w:p w:rsidR="00974805" w:rsidRDefault="00974805" w:rsidP="003C21B3">
      <w:pPr>
        <w:spacing w:after="120"/>
        <w:ind w:left="0" w:firstLine="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Under the Equality Act 2010 it is unlawful to discriminate against an individual on the following grounds, which are known as ‘protected characteristics’: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Age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Disability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Gender reassignment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Marriage and civil partnership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Pregnancy and maternity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Race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Religion or belief</w:t>
      </w:r>
    </w:p>
    <w:p w:rsidR="0097480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Sex </w:t>
      </w:r>
    </w:p>
    <w:p w:rsidR="00974805" w:rsidRDefault="00974805" w:rsidP="008B5312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Sexual Orientation</w:t>
      </w:r>
    </w:p>
    <w:p w:rsidR="008B5312" w:rsidRDefault="008B5312" w:rsidP="008B5312">
      <w:pPr>
        <w:spacing w:after="12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 addition, the Council will not discriminate on the grounds of:</w:t>
      </w:r>
    </w:p>
    <w:p w:rsidR="008B5312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Ethnic or national origin</w:t>
      </w:r>
    </w:p>
    <w:p w:rsidR="008B5312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Political views and/or trade union membership</w:t>
      </w:r>
    </w:p>
    <w:p w:rsidR="008B5312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HIV/AIDS status or other chronic illnesses</w:t>
      </w:r>
    </w:p>
    <w:p w:rsidR="008B5312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Personal family circumstances</w:t>
      </w:r>
    </w:p>
    <w:p w:rsidR="008B5312" w:rsidRDefault="008B5312" w:rsidP="008B5312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Socio-economic status</w:t>
      </w:r>
    </w:p>
    <w:p w:rsidR="008B5312" w:rsidRPr="008B5312" w:rsidRDefault="008B5312" w:rsidP="008B5312">
      <w:pPr>
        <w:spacing w:after="24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This list is not intended to be exhaustive but reflects the intention of this policy.</w:t>
      </w:r>
    </w:p>
    <w:p w:rsidR="00974805" w:rsidRPr="00974805" w:rsidRDefault="00974805" w:rsidP="00974805">
      <w:pPr>
        <w:pStyle w:val="ListParagraph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974805">
        <w:rPr>
          <w:b/>
          <w:sz w:val="22"/>
          <w:szCs w:val="22"/>
        </w:rPr>
        <w:t>Responsibilities</w:t>
      </w:r>
    </w:p>
    <w:p w:rsidR="003C21B3" w:rsidRDefault="00974805" w:rsidP="00A14413">
      <w:p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The Council, its councillors and employees all have a duty both morally and legally not to unfairly discriminate against individuals.</w:t>
      </w:r>
      <w:r w:rsidR="00A14413">
        <w:rPr>
          <w:sz w:val="22"/>
          <w:szCs w:val="22"/>
        </w:rPr>
        <w:t xml:space="preserve"> They all hold a personal responsibility for the practical application of the equality of opportunity across the Council.</w:t>
      </w:r>
    </w:p>
    <w:p w:rsidR="002E6B3E" w:rsidRDefault="002E6B3E" w:rsidP="00A14413">
      <w:p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The Equal Opportunities Policy is a key element of all aspects of the Council including recruitment, recruitment advertising, training, promotion, benefits, facilities, procedures, terms and conditions of employment and services to users.</w:t>
      </w:r>
    </w:p>
    <w:p w:rsidR="00A14413" w:rsidRDefault="00A14413" w:rsidP="00A14413">
      <w:pPr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The Council recognises that training and development are crucial to ensure that councillors and officers have the knowledge and appropriate behaviour to implement its Equal Opportunities Policy.</w:t>
      </w:r>
    </w:p>
    <w:p w:rsidR="00A14413" w:rsidRPr="00A14413" w:rsidRDefault="00A14413" w:rsidP="00A14413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b/>
          <w:sz w:val="22"/>
          <w:szCs w:val="22"/>
        </w:rPr>
      </w:pPr>
      <w:r w:rsidRPr="00A14413">
        <w:rPr>
          <w:b/>
          <w:sz w:val="22"/>
          <w:szCs w:val="22"/>
        </w:rPr>
        <w:t>Employees</w:t>
      </w:r>
    </w:p>
    <w:p w:rsidR="009D333E" w:rsidRDefault="00A14413" w:rsidP="008A21EB">
      <w:pPr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All employees</w:t>
      </w:r>
      <w:r w:rsidR="009D333E">
        <w:rPr>
          <w:sz w:val="22"/>
          <w:szCs w:val="22"/>
        </w:rPr>
        <w:t>, whether full-time, part-ti</w:t>
      </w:r>
      <w:r w:rsidR="00233923">
        <w:rPr>
          <w:sz w:val="22"/>
          <w:szCs w:val="22"/>
        </w:rPr>
        <w:t>m</w:t>
      </w:r>
      <w:r w:rsidR="009D333E">
        <w:rPr>
          <w:sz w:val="22"/>
          <w:szCs w:val="22"/>
        </w:rPr>
        <w:t xml:space="preserve">e, fixed term contract, agency workers or temporary staff, will be treated fairly and equally. </w:t>
      </w:r>
      <w:bookmarkStart w:id="0" w:name="_GoBack"/>
      <w:bookmarkEnd w:id="0"/>
    </w:p>
    <w:p w:rsidR="009D333E" w:rsidRPr="009D333E" w:rsidRDefault="009D333E" w:rsidP="009D333E">
      <w:pPr>
        <w:pStyle w:val="ListParagraph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9D333E">
        <w:rPr>
          <w:b/>
          <w:sz w:val="22"/>
          <w:szCs w:val="22"/>
        </w:rPr>
        <w:t>Breaches</w:t>
      </w:r>
    </w:p>
    <w:p w:rsidR="00A14413" w:rsidRPr="009D333E" w:rsidRDefault="00A14413" w:rsidP="009D333E">
      <w:pPr>
        <w:spacing w:after="120"/>
        <w:ind w:left="0" w:firstLine="0"/>
        <w:jc w:val="both"/>
        <w:rPr>
          <w:sz w:val="22"/>
          <w:szCs w:val="22"/>
        </w:rPr>
      </w:pPr>
      <w:r w:rsidRPr="009D333E">
        <w:rPr>
          <w:sz w:val="22"/>
          <w:szCs w:val="22"/>
        </w:rPr>
        <w:t>If there is any doubt about appropriate treatment under the Council’s Equal Opportunities Policy, employees should consult their line manager or the Town Clerk.</w:t>
      </w:r>
      <w:r w:rsidR="009D333E">
        <w:rPr>
          <w:sz w:val="22"/>
          <w:szCs w:val="22"/>
        </w:rPr>
        <w:t xml:space="preserve"> Members of </w:t>
      </w:r>
      <w:r w:rsidR="00233923">
        <w:rPr>
          <w:sz w:val="22"/>
          <w:szCs w:val="22"/>
        </w:rPr>
        <w:t xml:space="preserve">the </w:t>
      </w:r>
      <w:r w:rsidR="009D333E">
        <w:rPr>
          <w:sz w:val="22"/>
          <w:szCs w:val="22"/>
        </w:rPr>
        <w:t>public should refer to the Council’s Complaint</w:t>
      </w:r>
      <w:r w:rsidR="00233923">
        <w:rPr>
          <w:sz w:val="22"/>
          <w:szCs w:val="22"/>
        </w:rPr>
        <w:t>s</w:t>
      </w:r>
      <w:r w:rsidR="009D333E">
        <w:rPr>
          <w:sz w:val="22"/>
          <w:szCs w:val="22"/>
        </w:rPr>
        <w:t xml:space="preserve"> Procedure.</w:t>
      </w:r>
    </w:p>
    <w:p w:rsidR="00A14413" w:rsidRPr="00A14413" w:rsidRDefault="00A14413" w:rsidP="00A14413">
      <w:p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Breaches </w:t>
      </w:r>
      <w:r w:rsidR="008A21EB">
        <w:rPr>
          <w:sz w:val="22"/>
          <w:szCs w:val="22"/>
        </w:rPr>
        <w:t xml:space="preserve">by an employee </w:t>
      </w:r>
      <w:r>
        <w:rPr>
          <w:sz w:val="22"/>
          <w:szCs w:val="22"/>
        </w:rPr>
        <w:t>of the Council’s Equal Opportunities Policy will be regarded as serious misconduct and could lead to disciplinary procee</w:t>
      </w:r>
      <w:r w:rsidR="009D333E">
        <w:rPr>
          <w:sz w:val="22"/>
          <w:szCs w:val="22"/>
        </w:rPr>
        <w:t>dings</w:t>
      </w:r>
      <w:r w:rsidR="008A21EB">
        <w:rPr>
          <w:sz w:val="22"/>
          <w:szCs w:val="22"/>
        </w:rPr>
        <w:t>.</w:t>
      </w:r>
    </w:p>
    <w:p w:rsidR="000E17D8" w:rsidRDefault="000E17D8" w:rsidP="004B02EA">
      <w:pPr>
        <w:tabs>
          <w:tab w:val="left" w:pos="6220"/>
        </w:tabs>
        <w:ind w:left="993" w:hanging="993"/>
        <w:jc w:val="both"/>
        <w:rPr>
          <w:sz w:val="22"/>
          <w:szCs w:val="22"/>
          <w:lang w:eastAsia="en-GB"/>
        </w:rPr>
      </w:pPr>
    </w:p>
    <w:p w:rsidR="008C518F" w:rsidRDefault="008C518F" w:rsidP="004B02EA">
      <w:pPr>
        <w:tabs>
          <w:tab w:val="left" w:pos="6220"/>
        </w:tabs>
        <w:ind w:left="993" w:hanging="993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Adopted:</w:t>
      </w:r>
      <w:r w:rsidR="004B02EA">
        <w:rPr>
          <w:sz w:val="22"/>
          <w:szCs w:val="22"/>
          <w:lang w:eastAsia="en-GB"/>
        </w:rPr>
        <w:tab/>
      </w:r>
      <w:r w:rsidR="00134E80">
        <w:rPr>
          <w:sz w:val="22"/>
          <w:szCs w:val="22"/>
          <w:lang w:eastAsia="en-GB"/>
        </w:rPr>
        <w:t>April 2017</w:t>
      </w:r>
    </w:p>
    <w:p w:rsidR="008C518F" w:rsidRPr="00F33C2E" w:rsidRDefault="008C518F" w:rsidP="004B02EA">
      <w:pPr>
        <w:tabs>
          <w:tab w:val="left" w:pos="6220"/>
        </w:tabs>
        <w:ind w:left="993" w:hanging="993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Review:</w:t>
      </w:r>
      <w:r w:rsidR="004B02EA">
        <w:rPr>
          <w:sz w:val="22"/>
          <w:szCs w:val="22"/>
          <w:lang w:eastAsia="en-GB"/>
        </w:rPr>
        <w:tab/>
      </w:r>
      <w:r w:rsidR="00134E80">
        <w:rPr>
          <w:sz w:val="22"/>
          <w:szCs w:val="22"/>
          <w:lang w:eastAsia="en-GB"/>
        </w:rPr>
        <w:t>April 2020 (or if legislation changes)</w:t>
      </w:r>
    </w:p>
    <w:sectPr w:rsidR="008C518F" w:rsidRPr="00F33C2E" w:rsidSect="003C2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106" w:bottom="568" w:left="1077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D2" w:rsidRDefault="000066D2" w:rsidP="000620C0">
      <w:r>
        <w:separator/>
      </w:r>
    </w:p>
  </w:endnote>
  <w:endnote w:type="continuationSeparator" w:id="0">
    <w:p w:rsidR="000066D2" w:rsidRDefault="000066D2" w:rsidP="000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2E" w:rsidRDefault="00853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C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C2E" w:rsidRDefault="00F33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7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73" w:rsidRDefault="00621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B73" w:rsidRDefault="0062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2E" w:rsidRDefault="00015E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B6A">
      <w:rPr>
        <w:noProof/>
      </w:rPr>
      <w:t>1</w:t>
    </w:r>
    <w:r>
      <w:rPr>
        <w:noProof/>
      </w:rPr>
      <w:fldChar w:fldCharType="end"/>
    </w:r>
  </w:p>
  <w:p w:rsidR="00F33C2E" w:rsidRDefault="00F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D2" w:rsidRDefault="000066D2" w:rsidP="000620C0">
      <w:r>
        <w:separator/>
      </w:r>
    </w:p>
  </w:footnote>
  <w:footnote w:type="continuationSeparator" w:id="0">
    <w:p w:rsidR="000066D2" w:rsidRDefault="000066D2" w:rsidP="0006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94" w:rsidRDefault="008F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2E" w:rsidRDefault="00F33C2E" w:rsidP="000620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2E" w:rsidRDefault="00F33C2E" w:rsidP="00CD6D84">
    <w:pPr>
      <w:jc w:val="center"/>
    </w:pPr>
  </w:p>
  <w:p w:rsidR="00F33C2E" w:rsidRDefault="00F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B24"/>
    <w:multiLevelType w:val="hybridMultilevel"/>
    <w:tmpl w:val="8A40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515"/>
    <w:multiLevelType w:val="hybridMultilevel"/>
    <w:tmpl w:val="F31E54FC"/>
    <w:lvl w:ilvl="0" w:tplc="FC26D46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E8A"/>
    <w:multiLevelType w:val="hybridMultilevel"/>
    <w:tmpl w:val="E30246EA"/>
    <w:lvl w:ilvl="0" w:tplc="FC26D46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C2A"/>
    <w:multiLevelType w:val="hybridMultilevel"/>
    <w:tmpl w:val="5F2EE8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715D"/>
    <w:multiLevelType w:val="hybridMultilevel"/>
    <w:tmpl w:val="6A2A6372"/>
    <w:lvl w:ilvl="0" w:tplc="A9186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418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0"/>
    <w:rsid w:val="00004FF2"/>
    <w:rsid w:val="000066D2"/>
    <w:rsid w:val="00012F72"/>
    <w:rsid w:val="00015E34"/>
    <w:rsid w:val="00016840"/>
    <w:rsid w:val="000206C2"/>
    <w:rsid w:val="00026FEC"/>
    <w:rsid w:val="00031F94"/>
    <w:rsid w:val="00036D3F"/>
    <w:rsid w:val="00037B22"/>
    <w:rsid w:val="000461C1"/>
    <w:rsid w:val="00046DC5"/>
    <w:rsid w:val="00060B3D"/>
    <w:rsid w:val="000620C0"/>
    <w:rsid w:val="0007550A"/>
    <w:rsid w:val="00092CA2"/>
    <w:rsid w:val="00093F54"/>
    <w:rsid w:val="00096C07"/>
    <w:rsid w:val="000979F3"/>
    <w:rsid w:val="000A08F7"/>
    <w:rsid w:val="000B0652"/>
    <w:rsid w:val="000B15B3"/>
    <w:rsid w:val="000C6C83"/>
    <w:rsid w:val="000D2419"/>
    <w:rsid w:val="000E17D8"/>
    <w:rsid w:val="000E3BC8"/>
    <w:rsid w:val="000E655C"/>
    <w:rsid w:val="000F4E00"/>
    <w:rsid w:val="00101930"/>
    <w:rsid w:val="00104078"/>
    <w:rsid w:val="0010430E"/>
    <w:rsid w:val="001062E0"/>
    <w:rsid w:val="00114082"/>
    <w:rsid w:val="00123B0F"/>
    <w:rsid w:val="00123BA2"/>
    <w:rsid w:val="001327CA"/>
    <w:rsid w:val="00134E80"/>
    <w:rsid w:val="00140975"/>
    <w:rsid w:val="001517FE"/>
    <w:rsid w:val="001647FF"/>
    <w:rsid w:val="001760FB"/>
    <w:rsid w:val="00183B39"/>
    <w:rsid w:val="001845F7"/>
    <w:rsid w:val="001A1F71"/>
    <w:rsid w:val="001B399C"/>
    <w:rsid w:val="001B6FE7"/>
    <w:rsid w:val="001C5E28"/>
    <w:rsid w:val="001E2408"/>
    <w:rsid w:val="001E558F"/>
    <w:rsid w:val="001F32E5"/>
    <w:rsid w:val="001F3D46"/>
    <w:rsid w:val="001F60BF"/>
    <w:rsid w:val="00204EA0"/>
    <w:rsid w:val="0022758A"/>
    <w:rsid w:val="00233923"/>
    <w:rsid w:val="00242A6F"/>
    <w:rsid w:val="00251E9B"/>
    <w:rsid w:val="00252F56"/>
    <w:rsid w:val="00261210"/>
    <w:rsid w:val="00264202"/>
    <w:rsid w:val="00275038"/>
    <w:rsid w:val="002814DE"/>
    <w:rsid w:val="002B7C81"/>
    <w:rsid w:val="002B7F1E"/>
    <w:rsid w:val="002D7102"/>
    <w:rsid w:val="002E6B3E"/>
    <w:rsid w:val="002F2C2B"/>
    <w:rsid w:val="00303CC1"/>
    <w:rsid w:val="00306E45"/>
    <w:rsid w:val="00314D03"/>
    <w:rsid w:val="00317A87"/>
    <w:rsid w:val="00330D00"/>
    <w:rsid w:val="003323B8"/>
    <w:rsid w:val="0033486B"/>
    <w:rsid w:val="003368DB"/>
    <w:rsid w:val="003453FB"/>
    <w:rsid w:val="003517F3"/>
    <w:rsid w:val="00352AB2"/>
    <w:rsid w:val="003564C0"/>
    <w:rsid w:val="00360196"/>
    <w:rsid w:val="0036445A"/>
    <w:rsid w:val="00377388"/>
    <w:rsid w:val="00394CC3"/>
    <w:rsid w:val="003C21B3"/>
    <w:rsid w:val="003D7391"/>
    <w:rsid w:val="003E1E94"/>
    <w:rsid w:val="003F25E9"/>
    <w:rsid w:val="00400AE2"/>
    <w:rsid w:val="0040756A"/>
    <w:rsid w:val="00415225"/>
    <w:rsid w:val="00425DCB"/>
    <w:rsid w:val="00432745"/>
    <w:rsid w:val="00443783"/>
    <w:rsid w:val="00451139"/>
    <w:rsid w:val="004604E5"/>
    <w:rsid w:val="00464BD9"/>
    <w:rsid w:val="004755D2"/>
    <w:rsid w:val="00493D57"/>
    <w:rsid w:val="0049416A"/>
    <w:rsid w:val="00496C50"/>
    <w:rsid w:val="004A5FCF"/>
    <w:rsid w:val="004B02EA"/>
    <w:rsid w:val="004B6D36"/>
    <w:rsid w:val="004D3370"/>
    <w:rsid w:val="004D766E"/>
    <w:rsid w:val="004F111C"/>
    <w:rsid w:val="004F11A2"/>
    <w:rsid w:val="004F59F7"/>
    <w:rsid w:val="004F7A6B"/>
    <w:rsid w:val="005242EE"/>
    <w:rsid w:val="00533B21"/>
    <w:rsid w:val="005445BA"/>
    <w:rsid w:val="0054748E"/>
    <w:rsid w:val="00557E5C"/>
    <w:rsid w:val="0057130F"/>
    <w:rsid w:val="00576D2B"/>
    <w:rsid w:val="005A5C7B"/>
    <w:rsid w:val="005B039B"/>
    <w:rsid w:val="005B1059"/>
    <w:rsid w:val="005B1B6A"/>
    <w:rsid w:val="005B5E88"/>
    <w:rsid w:val="005C25E7"/>
    <w:rsid w:val="005D0B06"/>
    <w:rsid w:val="005E072B"/>
    <w:rsid w:val="00604A66"/>
    <w:rsid w:val="00621B73"/>
    <w:rsid w:val="006343F8"/>
    <w:rsid w:val="00637C9B"/>
    <w:rsid w:val="00641ACE"/>
    <w:rsid w:val="00642CFD"/>
    <w:rsid w:val="006575B4"/>
    <w:rsid w:val="006616EF"/>
    <w:rsid w:val="0066428D"/>
    <w:rsid w:val="006708AB"/>
    <w:rsid w:val="00677043"/>
    <w:rsid w:val="006830E7"/>
    <w:rsid w:val="006972EC"/>
    <w:rsid w:val="006D3CF9"/>
    <w:rsid w:val="006D58EE"/>
    <w:rsid w:val="006D7AFE"/>
    <w:rsid w:val="006F4F91"/>
    <w:rsid w:val="00702474"/>
    <w:rsid w:val="00716B9A"/>
    <w:rsid w:val="007314F8"/>
    <w:rsid w:val="007335A3"/>
    <w:rsid w:val="00733C10"/>
    <w:rsid w:val="007409A0"/>
    <w:rsid w:val="00755D75"/>
    <w:rsid w:val="0075780B"/>
    <w:rsid w:val="0076509C"/>
    <w:rsid w:val="00780EED"/>
    <w:rsid w:val="00781197"/>
    <w:rsid w:val="00786DD2"/>
    <w:rsid w:val="007879E9"/>
    <w:rsid w:val="00790543"/>
    <w:rsid w:val="00797DA0"/>
    <w:rsid w:val="007A74B5"/>
    <w:rsid w:val="007B1C44"/>
    <w:rsid w:val="007B7A89"/>
    <w:rsid w:val="007C422B"/>
    <w:rsid w:val="007C4933"/>
    <w:rsid w:val="007D1286"/>
    <w:rsid w:val="007D3549"/>
    <w:rsid w:val="007E7C96"/>
    <w:rsid w:val="007F6298"/>
    <w:rsid w:val="00801D35"/>
    <w:rsid w:val="008025E5"/>
    <w:rsid w:val="00805AAA"/>
    <w:rsid w:val="00815667"/>
    <w:rsid w:val="00815DFD"/>
    <w:rsid w:val="00816493"/>
    <w:rsid w:val="00817E04"/>
    <w:rsid w:val="0082453E"/>
    <w:rsid w:val="00824A66"/>
    <w:rsid w:val="00835A1E"/>
    <w:rsid w:val="00850ED9"/>
    <w:rsid w:val="0085303B"/>
    <w:rsid w:val="008531D7"/>
    <w:rsid w:val="00864709"/>
    <w:rsid w:val="00873B4D"/>
    <w:rsid w:val="00881BA7"/>
    <w:rsid w:val="008907A3"/>
    <w:rsid w:val="008972B3"/>
    <w:rsid w:val="008A1AD6"/>
    <w:rsid w:val="008A1FE2"/>
    <w:rsid w:val="008A21EB"/>
    <w:rsid w:val="008A2350"/>
    <w:rsid w:val="008A4365"/>
    <w:rsid w:val="008A678E"/>
    <w:rsid w:val="008B5312"/>
    <w:rsid w:val="008C0D2A"/>
    <w:rsid w:val="008C306D"/>
    <w:rsid w:val="008C518F"/>
    <w:rsid w:val="008C5590"/>
    <w:rsid w:val="008D14BA"/>
    <w:rsid w:val="008D1CEC"/>
    <w:rsid w:val="008D32C6"/>
    <w:rsid w:val="008D4AAC"/>
    <w:rsid w:val="008D5D7E"/>
    <w:rsid w:val="008F1FC7"/>
    <w:rsid w:val="008F7C94"/>
    <w:rsid w:val="009025B5"/>
    <w:rsid w:val="00927EE8"/>
    <w:rsid w:val="00930270"/>
    <w:rsid w:val="00952F49"/>
    <w:rsid w:val="009736E0"/>
    <w:rsid w:val="0097417A"/>
    <w:rsid w:val="00974805"/>
    <w:rsid w:val="0098456D"/>
    <w:rsid w:val="009A1C3A"/>
    <w:rsid w:val="009C6AEC"/>
    <w:rsid w:val="009D333E"/>
    <w:rsid w:val="009D5F3C"/>
    <w:rsid w:val="009F6C60"/>
    <w:rsid w:val="00A14413"/>
    <w:rsid w:val="00A21EDC"/>
    <w:rsid w:val="00A221DA"/>
    <w:rsid w:val="00A264C8"/>
    <w:rsid w:val="00A37CC9"/>
    <w:rsid w:val="00A5620B"/>
    <w:rsid w:val="00A76EB5"/>
    <w:rsid w:val="00A854E9"/>
    <w:rsid w:val="00A87458"/>
    <w:rsid w:val="00AA3686"/>
    <w:rsid w:val="00AC2076"/>
    <w:rsid w:val="00AC2C25"/>
    <w:rsid w:val="00AC484A"/>
    <w:rsid w:val="00AD5E25"/>
    <w:rsid w:val="00AF2313"/>
    <w:rsid w:val="00AF2AC6"/>
    <w:rsid w:val="00AF6822"/>
    <w:rsid w:val="00B00FF2"/>
    <w:rsid w:val="00B21DF7"/>
    <w:rsid w:val="00B261AE"/>
    <w:rsid w:val="00B52797"/>
    <w:rsid w:val="00B71D16"/>
    <w:rsid w:val="00B75D73"/>
    <w:rsid w:val="00B84A9D"/>
    <w:rsid w:val="00B86689"/>
    <w:rsid w:val="00B91E35"/>
    <w:rsid w:val="00BB43F4"/>
    <w:rsid w:val="00BF1DAB"/>
    <w:rsid w:val="00C038CD"/>
    <w:rsid w:val="00C13ACC"/>
    <w:rsid w:val="00C25F59"/>
    <w:rsid w:val="00C316B0"/>
    <w:rsid w:val="00C53B89"/>
    <w:rsid w:val="00C60662"/>
    <w:rsid w:val="00C63BC5"/>
    <w:rsid w:val="00C96E4E"/>
    <w:rsid w:val="00C97BEA"/>
    <w:rsid w:val="00CA06B9"/>
    <w:rsid w:val="00CA1DFE"/>
    <w:rsid w:val="00CB23D9"/>
    <w:rsid w:val="00CC0BEB"/>
    <w:rsid w:val="00CC49AB"/>
    <w:rsid w:val="00CC6214"/>
    <w:rsid w:val="00CD0DE0"/>
    <w:rsid w:val="00CD1312"/>
    <w:rsid w:val="00CD6D84"/>
    <w:rsid w:val="00CF4CAD"/>
    <w:rsid w:val="00D07202"/>
    <w:rsid w:val="00D11C2B"/>
    <w:rsid w:val="00D12DDE"/>
    <w:rsid w:val="00D22272"/>
    <w:rsid w:val="00D31A36"/>
    <w:rsid w:val="00D70A2B"/>
    <w:rsid w:val="00D737D1"/>
    <w:rsid w:val="00D74E61"/>
    <w:rsid w:val="00D76CAB"/>
    <w:rsid w:val="00D84F35"/>
    <w:rsid w:val="00D854D0"/>
    <w:rsid w:val="00DA0EEE"/>
    <w:rsid w:val="00DB7240"/>
    <w:rsid w:val="00DC287B"/>
    <w:rsid w:val="00DE32EC"/>
    <w:rsid w:val="00E078EB"/>
    <w:rsid w:val="00E1273F"/>
    <w:rsid w:val="00E17483"/>
    <w:rsid w:val="00E21247"/>
    <w:rsid w:val="00E36D14"/>
    <w:rsid w:val="00E45B3D"/>
    <w:rsid w:val="00E67776"/>
    <w:rsid w:val="00E776A5"/>
    <w:rsid w:val="00E77CAA"/>
    <w:rsid w:val="00E807B5"/>
    <w:rsid w:val="00E91461"/>
    <w:rsid w:val="00E9384C"/>
    <w:rsid w:val="00EA211C"/>
    <w:rsid w:val="00EB5BFA"/>
    <w:rsid w:val="00EB7DE6"/>
    <w:rsid w:val="00EC5DA5"/>
    <w:rsid w:val="00ED1941"/>
    <w:rsid w:val="00ED62A3"/>
    <w:rsid w:val="00F07F6E"/>
    <w:rsid w:val="00F11920"/>
    <w:rsid w:val="00F179F6"/>
    <w:rsid w:val="00F324AD"/>
    <w:rsid w:val="00F33C2E"/>
    <w:rsid w:val="00F41440"/>
    <w:rsid w:val="00F41D65"/>
    <w:rsid w:val="00F54D76"/>
    <w:rsid w:val="00F56F12"/>
    <w:rsid w:val="00F648C2"/>
    <w:rsid w:val="00F67388"/>
    <w:rsid w:val="00F67A81"/>
    <w:rsid w:val="00F73838"/>
    <w:rsid w:val="00F94DCB"/>
    <w:rsid w:val="00FA5F64"/>
    <w:rsid w:val="00FA7E7A"/>
    <w:rsid w:val="00FC45B3"/>
    <w:rsid w:val="00FC61CE"/>
    <w:rsid w:val="00FD047C"/>
    <w:rsid w:val="00FD5D2B"/>
    <w:rsid w:val="00FE4FF4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4836220-166C-4D91-80F5-A5C2A03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20C0"/>
    <w:pPr>
      <w:ind w:left="1418" w:hanging="1418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745"/>
    <w:pPr>
      <w:keepNext/>
      <w:keepLines/>
      <w:spacing w:before="480" w:line="276" w:lineRule="auto"/>
      <w:ind w:left="0" w:firstLine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20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620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20C0"/>
  </w:style>
  <w:style w:type="paragraph" w:styleId="Header">
    <w:name w:val="header"/>
    <w:basedOn w:val="Normal"/>
    <w:link w:val="HeaderChar"/>
    <w:uiPriority w:val="99"/>
    <w:unhideWhenUsed/>
    <w:rsid w:val="000620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0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0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3F4"/>
    <w:pPr>
      <w:ind w:left="720"/>
      <w:contextualSpacing/>
    </w:pPr>
  </w:style>
  <w:style w:type="paragraph" w:customStyle="1" w:styleId="Default">
    <w:name w:val="Default"/>
    <w:rsid w:val="008D4AAC"/>
    <w:pPr>
      <w:autoSpaceDE w:val="0"/>
      <w:autoSpaceDN w:val="0"/>
      <w:adjustRightInd w:val="0"/>
      <w:ind w:left="1418" w:hanging="1418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811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745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85D6-6570-4A13-8216-96E1657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Georgia Raeburn</cp:lastModifiedBy>
  <cp:revision>3</cp:revision>
  <cp:lastPrinted>2017-02-14T11:45:00Z</cp:lastPrinted>
  <dcterms:created xsi:type="dcterms:W3CDTF">2017-04-07T22:57:00Z</dcterms:created>
  <dcterms:modified xsi:type="dcterms:W3CDTF">2017-04-21T11:15:00Z</dcterms:modified>
</cp:coreProperties>
</file>