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D011" w14:textId="77777777" w:rsidR="00BC6090" w:rsidRDefault="00535478" w:rsidP="00BC6090">
      <w:pPr>
        <w:spacing w:after="0" w:line="276" w:lineRule="auto"/>
        <w:jc w:val="both"/>
        <w:rPr>
          <w:b/>
          <w:color w:val="C0504D" w:themeColor="accent2"/>
          <w:sz w:val="32"/>
          <w:szCs w:val="28"/>
        </w:rPr>
      </w:pPr>
      <w:r w:rsidRPr="00BC6090">
        <w:rPr>
          <w:b/>
          <w:color w:val="4F6228" w:themeColor="accent3" w:themeShade="80"/>
          <w:sz w:val="32"/>
          <w:szCs w:val="32"/>
        </w:rPr>
        <w:t>List of policies in Plan</w:t>
      </w:r>
      <w:r w:rsidR="00BC6090">
        <w:rPr>
          <w:b/>
          <w:sz w:val="32"/>
          <w:szCs w:val="32"/>
        </w:rPr>
        <w:t xml:space="preserve"> </w:t>
      </w:r>
      <w:r w:rsidR="00BC6090">
        <w:rPr>
          <w:b/>
          <w:color w:val="C0504D" w:themeColor="accent2"/>
          <w:sz w:val="32"/>
          <w:szCs w:val="28"/>
        </w:rPr>
        <w:t xml:space="preserve">and </w:t>
      </w:r>
      <w:r w:rsidR="00BC6090" w:rsidRPr="000030A7">
        <w:rPr>
          <w:b/>
          <w:color w:val="C0504D" w:themeColor="accent2"/>
          <w:sz w:val="32"/>
          <w:szCs w:val="28"/>
        </w:rPr>
        <w:t xml:space="preserve">Non-Statutory Community Aspirations  </w:t>
      </w:r>
    </w:p>
    <w:p w14:paraId="072FD952" w14:textId="77777777" w:rsidR="00535478" w:rsidRPr="00BC6090" w:rsidRDefault="00535478" w:rsidP="00535478">
      <w:pPr>
        <w:rPr>
          <w:b/>
          <w:sz w:val="32"/>
          <w:szCs w:val="32"/>
        </w:rPr>
      </w:pPr>
      <w:bookmarkStart w:id="0" w:name="_GoBack"/>
      <w:bookmarkEnd w:id="0"/>
    </w:p>
    <w:p w14:paraId="51B0DAA8" w14:textId="77777777" w:rsidR="00535478" w:rsidRDefault="00535478" w:rsidP="0060565D">
      <w:pPr>
        <w:spacing w:after="0" w:line="276" w:lineRule="auto"/>
        <w:jc w:val="both"/>
        <w:rPr>
          <w:b/>
          <w:color w:val="00B050"/>
          <w:sz w:val="24"/>
          <w:szCs w:val="24"/>
        </w:rPr>
      </w:pPr>
    </w:p>
    <w:p w14:paraId="08C13DE5" w14:textId="77777777" w:rsidR="0060565D" w:rsidRPr="000030A7" w:rsidRDefault="0060565D" w:rsidP="0060565D">
      <w:pPr>
        <w:spacing w:after="0" w:line="276" w:lineRule="auto"/>
        <w:jc w:val="both"/>
        <w:rPr>
          <w:b/>
          <w:color w:val="00B050"/>
          <w:sz w:val="24"/>
          <w:szCs w:val="24"/>
        </w:rPr>
      </w:pPr>
      <w:r w:rsidRPr="000030A7">
        <w:rPr>
          <w:b/>
          <w:color w:val="00B050"/>
          <w:sz w:val="24"/>
          <w:szCs w:val="24"/>
        </w:rPr>
        <w:t>SEA1 Development within or affecting the South Downs National Park</w:t>
      </w:r>
    </w:p>
    <w:p w14:paraId="78702C04" w14:textId="77777777" w:rsidR="0060565D" w:rsidRPr="000030A7" w:rsidRDefault="0060565D" w:rsidP="0060565D">
      <w:pPr>
        <w:spacing w:after="0" w:line="276" w:lineRule="auto"/>
        <w:jc w:val="both"/>
        <w:rPr>
          <w:b/>
          <w:color w:val="00B050"/>
          <w:sz w:val="24"/>
          <w:szCs w:val="24"/>
        </w:rPr>
      </w:pPr>
    </w:p>
    <w:p w14:paraId="02558DA4" w14:textId="77777777" w:rsidR="0060565D" w:rsidRPr="000030A7" w:rsidRDefault="0060565D" w:rsidP="0060565D">
      <w:pPr>
        <w:spacing w:after="0" w:line="276" w:lineRule="auto"/>
        <w:jc w:val="both"/>
        <w:rPr>
          <w:b/>
          <w:color w:val="00B050"/>
          <w:sz w:val="24"/>
          <w:szCs w:val="24"/>
        </w:rPr>
      </w:pPr>
      <w:r w:rsidRPr="004A6F6A">
        <w:rPr>
          <w:b/>
          <w:color w:val="00B050"/>
          <w:sz w:val="24"/>
          <w:szCs w:val="24"/>
        </w:rPr>
        <w:t>Development within or impacting upon the South Downs National Park should have a landscape led approach to design, having regard to the setting of the National Park in terms of its landscape and visual amenity. Development within or impacting upon the South D</w:t>
      </w:r>
      <w:r>
        <w:rPr>
          <w:b/>
          <w:color w:val="00B050"/>
          <w:sz w:val="24"/>
          <w:szCs w:val="24"/>
        </w:rPr>
        <w:t>owns National Park must respect</w:t>
      </w:r>
      <w:r w:rsidRPr="000030A7">
        <w:rPr>
          <w:b/>
          <w:color w:val="00B050"/>
          <w:sz w:val="24"/>
          <w:szCs w:val="24"/>
        </w:rPr>
        <w:t>:</w:t>
      </w:r>
    </w:p>
    <w:p w14:paraId="27278D8B" w14:textId="77777777" w:rsidR="0060565D" w:rsidRPr="000030A7" w:rsidRDefault="0060565D" w:rsidP="0060565D">
      <w:pPr>
        <w:spacing w:after="0" w:line="276" w:lineRule="auto"/>
        <w:ind w:left="340" w:hanging="340"/>
        <w:jc w:val="both"/>
        <w:rPr>
          <w:b/>
          <w:color w:val="00B050"/>
          <w:sz w:val="24"/>
          <w:szCs w:val="24"/>
        </w:rPr>
      </w:pPr>
      <w:r w:rsidRPr="000030A7">
        <w:rPr>
          <w:b/>
          <w:color w:val="00B050"/>
          <w:sz w:val="24"/>
          <w:szCs w:val="24"/>
        </w:rPr>
        <w:t>a)</w:t>
      </w:r>
      <w:r w:rsidRPr="000030A7">
        <w:rPr>
          <w:b/>
          <w:color w:val="00B050"/>
          <w:sz w:val="24"/>
          <w:szCs w:val="24"/>
        </w:rPr>
        <w:tab/>
        <w:t xml:space="preserve">the landscape setting of Seaford, including meeting the purposes of the South Downs National Park and protecting the character of the Heritage </w:t>
      </w:r>
      <w:proofErr w:type="gramStart"/>
      <w:r w:rsidRPr="000030A7">
        <w:rPr>
          <w:b/>
          <w:color w:val="00B050"/>
          <w:sz w:val="24"/>
          <w:szCs w:val="24"/>
        </w:rPr>
        <w:t>Coast;</w:t>
      </w:r>
      <w:proofErr w:type="gramEnd"/>
    </w:p>
    <w:p w14:paraId="336DD37C" w14:textId="77777777" w:rsidR="0060565D" w:rsidRPr="000030A7" w:rsidRDefault="0060565D" w:rsidP="0060565D">
      <w:pPr>
        <w:spacing w:after="0" w:line="276" w:lineRule="auto"/>
        <w:ind w:left="340" w:hanging="340"/>
        <w:jc w:val="both"/>
        <w:rPr>
          <w:b/>
          <w:color w:val="00B050"/>
          <w:sz w:val="24"/>
          <w:szCs w:val="24"/>
        </w:rPr>
      </w:pPr>
      <w:r w:rsidRPr="000030A7">
        <w:rPr>
          <w:b/>
          <w:color w:val="00B050"/>
          <w:sz w:val="24"/>
          <w:szCs w:val="24"/>
        </w:rPr>
        <w:t>b)</w:t>
      </w:r>
      <w:r w:rsidRPr="000030A7">
        <w:rPr>
          <w:b/>
          <w:color w:val="00B050"/>
          <w:sz w:val="24"/>
          <w:szCs w:val="24"/>
        </w:rPr>
        <w:tab/>
        <w:t xml:space="preserve">the key views as identified in the Statement on Seaford’s Local Landscape Character and Views and shown on Map 2 (Views from and within Conservation Areas are shown </w:t>
      </w:r>
      <w:proofErr w:type="gramStart"/>
      <w:r w:rsidRPr="000030A7">
        <w:rPr>
          <w:b/>
          <w:color w:val="00B050"/>
          <w:sz w:val="24"/>
          <w:szCs w:val="24"/>
        </w:rPr>
        <w:t>in  detail</w:t>
      </w:r>
      <w:proofErr w:type="gramEnd"/>
      <w:r w:rsidRPr="000030A7">
        <w:rPr>
          <w:b/>
          <w:color w:val="00B050"/>
          <w:sz w:val="24"/>
          <w:szCs w:val="24"/>
        </w:rPr>
        <w:t xml:space="preserve"> in Appendix D):</w:t>
      </w:r>
    </w:p>
    <w:p w14:paraId="1756F931" w14:textId="77777777" w:rsidR="0060565D" w:rsidRPr="000030A7" w:rsidRDefault="0060565D" w:rsidP="0060565D">
      <w:pPr>
        <w:spacing w:after="0" w:line="276" w:lineRule="auto"/>
        <w:ind w:left="340" w:hanging="340"/>
        <w:jc w:val="both"/>
        <w:rPr>
          <w:b/>
          <w:color w:val="00B050"/>
          <w:sz w:val="24"/>
          <w:szCs w:val="24"/>
        </w:rPr>
      </w:pPr>
      <w:r w:rsidRPr="000030A7">
        <w:rPr>
          <w:b/>
          <w:color w:val="00B050"/>
          <w:sz w:val="24"/>
          <w:szCs w:val="24"/>
        </w:rPr>
        <w:t>c)</w:t>
      </w:r>
      <w:r w:rsidRPr="000030A7">
        <w:rPr>
          <w:b/>
          <w:color w:val="00B050"/>
          <w:sz w:val="24"/>
          <w:szCs w:val="24"/>
        </w:rPr>
        <w:tab/>
        <w:t xml:space="preserve">tranquillity and dark night </w:t>
      </w:r>
      <w:proofErr w:type="gramStart"/>
      <w:r w:rsidRPr="000030A7">
        <w:rPr>
          <w:b/>
          <w:color w:val="00B050"/>
          <w:sz w:val="24"/>
          <w:szCs w:val="24"/>
        </w:rPr>
        <w:t>skies;</w:t>
      </w:r>
      <w:proofErr w:type="gramEnd"/>
    </w:p>
    <w:p w14:paraId="7EA288AA" w14:textId="77777777" w:rsidR="0060565D" w:rsidRPr="000030A7" w:rsidRDefault="0060565D" w:rsidP="0060565D">
      <w:pPr>
        <w:spacing w:after="0" w:line="276" w:lineRule="auto"/>
        <w:ind w:left="340" w:hanging="340"/>
        <w:jc w:val="both"/>
        <w:rPr>
          <w:b/>
          <w:color w:val="00B050"/>
          <w:sz w:val="24"/>
          <w:szCs w:val="24"/>
        </w:rPr>
      </w:pPr>
      <w:r w:rsidRPr="000030A7">
        <w:rPr>
          <w:b/>
          <w:color w:val="00B050"/>
          <w:sz w:val="24"/>
          <w:szCs w:val="24"/>
        </w:rPr>
        <w:t>d)</w:t>
      </w:r>
      <w:r w:rsidRPr="000030A7">
        <w:rPr>
          <w:b/>
          <w:color w:val="00B050"/>
          <w:sz w:val="24"/>
          <w:szCs w:val="24"/>
        </w:rPr>
        <w:tab/>
        <w:t xml:space="preserve">the natural, locally distinctive and heritage landscape qualities and characteristics of Seaford including trees and hedgerows, particularly in areas which are currently deficient in such natural </w:t>
      </w:r>
      <w:proofErr w:type="gramStart"/>
      <w:r w:rsidRPr="000030A7">
        <w:rPr>
          <w:b/>
          <w:color w:val="00B050"/>
          <w:sz w:val="24"/>
          <w:szCs w:val="24"/>
        </w:rPr>
        <w:t>assets;</w:t>
      </w:r>
      <w:proofErr w:type="gramEnd"/>
    </w:p>
    <w:p w14:paraId="3C61E6FB" w14:textId="77777777" w:rsidR="0060565D" w:rsidRPr="000030A7" w:rsidRDefault="0060565D" w:rsidP="0060565D">
      <w:pPr>
        <w:spacing w:after="0" w:line="276" w:lineRule="auto"/>
        <w:ind w:left="340" w:hanging="340"/>
        <w:jc w:val="both"/>
        <w:rPr>
          <w:b/>
          <w:color w:val="00B050"/>
          <w:sz w:val="24"/>
          <w:szCs w:val="24"/>
        </w:rPr>
      </w:pPr>
      <w:r w:rsidRPr="000030A7">
        <w:rPr>
          <w:b/>
          <w:color w:val="00B050"/>
          <w:sz w:val="24"/>
          <w:szCs w:val="24"/>
        </w:rPr>
        <w:t>e)</w:t>
      </w:r>
      <w:r w:rsidRPr="000030A7">
        <w:rPr>
          <w:b/>
          <w:color w:val="00B050"/>
          <w:sz w:val="24"/>
          <w:szCs w:val="24"/>
        </w:rPr>
        <w:tab/>
        <w:t>features of biodiversity, geological and heritage in</w:t>
      </w:r>
      <w:r>
        <w:rPr>
          <w:b/>
          <w:color w:val="00B050"/>
          <w:sz w:val="24"/>
          <w:szCs w:val="24"/>
        </w:rPr>
        <w:t>terest</w:t>
      </w:r>
      <w:r w:rsidR="00535478">
        <w:rPr>
          <w:b/>
          <w:color w:val="00B050"/>
          <w:sz w:val="24"/>
          <w:szCs w:val="24"/>
        </w:rPr>
        <w:t xml:space="preserve"> (see Paragraph 6.8)</w:t>
      </w:r>
    </w:p>
    <w:p w14:paraId="12E70387" w14:textId="77777777" w:rsidR="0060565D" w:rsidRPr="000030A7" w:rsidRDefault="0060565D" w:rsidP="0060565D">
      <w:pPr>
        <w:spacing w:after="0" w:line="276" w:lineRule="auto"/>
        <w:jc w:val="both"/>
        <w:rPr>
          <w:color w:val="00B050"/>
          <w:sz w:val="24"/>
          <w:szCs w:val="24"/>
        </w:rPr>
      </w:pPr>
    </w:p>
    <w:p w14:paraId="437F0B70" w14:textId="77777777" w:rsidR="0060565D" w:rsidRPr="000030A7" w:rsidRDefault="0060565D" w:rsidP="0060565D">
      <w:pPr>
        <w:spacing w:after="0" w:line="276" w:lineRule="auto"/>
        <w:jc w:val="both"/>
        <w:rPr>
          <w:color w:val="00B050"/>
          <w:sz w:val="24"/>
          <w:szCs w:val="24"/>
        </w:rPr>
      </w:pPr>
    </w:p>
    <w:p w14:paraId="7BE6A6C5" w14:textId="77777777" w:rsidR="0060565D" w:rsidRDefault="0060565D" w:rsidP="0060565D">
      <w:pPr>
        <w:spacing w:after="0" w:line="276" w:lineRule="auto"/>
        <w:jc w:val="both"/>
        <w:rPr>
          <w:b/>
          <w:color w:val="00B050"/>
          <w:sz w:val="24"/>
          <w:szCs w:val="24"/>
        </w:rPr>
      </w:pPr>
    </w:p>
    <w:p w14:paraId="5A98C0A9" w14:textId="77777777" w:rsidR="0060565D" w:rsidRPr="000030A7" w:rsidRDefault="0060565D" w:rsidP="0060565D">
      <w:pPr>
        <w:spacing w:after="0" w:line="276" w:lineRule="auto"/>
        <w:jc w:val="both"/>
        <w:rPr>
          <w:b/>
          <w:color w:val="00B050"/>
          <w:sz w:val="24"/>
          <w:szCs w:val="24"/>
        </w:rPr>
      </w:pPr>
      <w:r w:rsidRPr="000030A7">
        <w:rPr>
          <w:b/>
          <w:color w:val="00B050"/>
          <w:sz w:val="24"/>
          <w:szCs w:val="24"/>
        </w:rPr>
        <w:t>SEA2 Design</w:t>
      </w:r>
    </w:p>
    <w:p w14:paraId="3123FF38" w14:textId="77777777" w:rsidR="0060565D" w:rsidRPr="000030A7" w:rsidRDefault="0060565D" w:rsidP="0060565D">
      <w:pPr>
        <w:spacing w:after="0" w:line="276" w:lineRule="auto"/>
        <w:jc w:val="both"/>
        <w:rPr>
          <w:b/>
          <w:color w:val="00B050"/>
          <w:sz w:val="24"/>
          <w:szCs w:val="24"/>
        </w:rPr>
      </w:pPr>
    </w:p>
    <w:p w14:paraId="4D02C96E" w14:textId="77777777" w:rsidR="0060565D" w:rsidRPr="000030A7" w:rsidRDefault="0060565D" w:rsidP="0060565D">
      <w:pPr>
        <w:spacing w:after="0" w:line="276" w:lineRule="auto"/>
        <w:jc w:val="both"/>
        <w:rPr>
          <w:b/>
          <w:color w:val="00B050"/>
          <w:sz w:val="24"/>
          <w:szCs w:val="24"/>
        </w:rPr>
      </w:pPr>
      <w:r w:rsidRPr="004A6F6A">
        <w:rPr>
          <w:b/>
          <w:color w:val="00B050"/>
          <w:sz w:val="24"/>
          <w:szCs w:val="24"/>
        </w:rPr>
        <w:t>Development in the Neighbourhood Area should demonstrate high design quality. Development should have regard to the General Design Guidelines for Seaford and give consider</w:t>
      </w:r>
      <w:r>
        <w:rPr>
          <w:b/>
          <w:color w:val="00B050"/>
          <w:sz w:val="24"/>
          <w:szCs w:val="24"/>
        </w:rPr>
        <w:t>ation to the following criteria</w:t>
      </w:r>
      <w:r w:rsidRPr="000030A7">
        <w:rPr>
          <w:b/>
          <w:color w:val="00B050"/>
          <w:sz w:val="24"/>
          <w:szCs w:val="24"/>
        </w:rPr>
        <w:t>:</w:t>
      </w:r>
    </w:p>
    <w:p w14:paraId="7EF662BD" w14:textId="77777777" w:rsidR="0060565D" w:rsidRPr="000030A7"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the design has regard to the distinctive and attractive characteristics of Seaford and its setting and the key views identified in the Statement on Seaford’s Local Landscape Character and Views and shown on Map 2;</w:t>
      </w:r>
    </w:p>
    <w:p w14:paraId="4D36EE6F" w14:textId="77777777" w:rsidR="0060565D" w:rsidRPr="000030A7"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 xml:space="preserve">the site is located and designed to facilitate connectivity between the site and local services by cyclists and pedestrians, having regard to the ESCC Local Cycling and Walking Infrastructure Plan for the area.  This will take into account the need to provide routeways with sufficient informal surveillance and lighting so that people feel safe using them; </w:t>
      </w:r>
    </w:p>
    <w:p w14:paraId="4F66093E" w14:textId="77777777" w:rsidR="0060565D" w:rsidRPr="000030A7"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the site provides good access to public transport to help reduce car dependency and support public transport use, including where appropriate provision of better connections between bus and rail, and improved passenger information;</w:t>
      </w:r>
    </w:p>
    <w:p w14:paraId="187D5F1A" w14:textId="77777777" w:rsidR="0060565D" w:rsidRPr="000030A7"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 xml:space="preserve">the design makes an efficient use of land and incorporates a high quality layout, building design, energy efficiency and durable and sustainable materials of an </w:t>
      </w:r>
      <w:r w:rsidRPr="000030A7">
        <w:rPr>
          <w:b/>
          <w:color w:val="00B050"/>
          <w:sz w:val="24"/>
          <w:szCs w:val="24"/>
        </w:rPr>
        <w:lastRenderedPageBreak/>
        <w:t>appropriate texture, colour, pattern and appearance that will contribute positively to the landscape and townscape character and local distinctiveness of Seaford;</w:t>
      </w:r>
    </w:p>
    <w:p w14:paraId="1CB6182D" w14:textId="77777777" w:rsidR="0060565D" w:rsidRPr="000030A7"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the design incorporates public and private spaces which are clearly defined and designed to be attractive, well managed and safe. There should be suitable private outdoor amenity space for new dwellings so passers-by respect the boundaries and residents feel their personal space is protected, and adequate, appropriately designed external storage space for bins and recycling facilities as well as for bicycles.</w:t>
      </w:r>
    </w:p>
    <w:p w14:paraId="10CA44E0" w14:textId="77777777" w:rsidR="0060565D" w:rsidRPr="000030A7"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 xml:space="preserve">where appropriate the design is informed by a landscape assessment that has regard to the existing topography and landscape features of the site and the townscape, landscape and seascape of the surrounding area.  </w:t>
      </w:r>
    </w:p>
    <w:p w14:paraId="3AC106A3" w14:textId="77777777" w:rsidR="0060565D" w:rsidRPr="000030A7"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where appropriate the design is informed by an Ecological Impact Assessment (</w:t>
      </w:r>
      <w:proofErr w:type="spellStart"/>
      <w:r w:rsidRPr="000030A7">
        <w:rPr>
          <w:b/>
          <w:color w:val="00B050"/>
          <w:sz w:val="24"/>
          <w:szCs w:val="24"/>
        </w:rPr>
        <w:t>EcIA</w:t>
      </w:r>
      <w:proofErr w:type="spellEnd"/>
      <w:r w:rsidRPr="000030A7">
        <w:rPr>
          <w:b/>
          <w:color w:val="00B050"/>
          <w:sz w:val="24"/>
          <w:szCs w:val="24"/>
        </w:rPr>
        <w:t>), in line with BS42020:2013 and CIEEM guidelines, has regard to the mitigation hierarchy in NPPF paragraph 175a, and provides a net gain in biodiversity. Existing individual trees or tree groups that contribute positively to the area will be retained and opportunities taken to provide or improve green and blue infrastructure and habitat connections and linkages to green spaces and/or the countryside;</w:t>
      </w:r>
    </w:p>
    <w:p w14:paraId="1A287D13" w14:textId="77777777" w:rsidR="0060565D" w:rsidRPr="000030A7"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where the development could impact on designated or non-designated heritage assets, the design is informed by a heritage assessment using the Historic Environment Record as well as archaeological field work where appropriate and will be accompanied by appropriate levels of archaeological work which are research driven to answer specific questions relevant to the history and archaeology of Seaford and the plan area.</w:t>
      </w:r>
    </w:p>
    <w:p w14:paraId="1E52FDEC" w14:textId="77777777" w:rsidR="0060565D" w:rsidRPr="000030A7"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car parking or other servicing areas will meet ESCC standards and be appropriate to the context and sensitively located and designed so as not to dominate the public realm. Where appropriate electric vehicle charging points will be supported.</w:t>
      </w:r>
    </w:p>
    <w:p w14:paraId="70E40D2A" w14:textId="77777777" w:rsidR="0060565D" w:rsidRDefault="0060565D" w:rsidP="0060565D">
      <w:pPr>
        <w:pStyle w:val="ListParagraph"/>
        <w:numPr>
          <w:ilvl w:val="0"/>
          <w:numId w:val="1"/>
        </w:numPr>
        <w:spacing w:after="0" w:line="276" w:lineRule="auto"/>
        <w:ind w:left="357" w:hanging="357"/>
        <w:jc w:val="both"/>
        <w:rPr>
          <w:b/>
          <w:color w:val="00B050"/>
          <w:sz w:val="24"/>
          <w:szCs w:val="24"/>
        </w:rPr>
      </w:pPr>
      <w:r w:rsidRPr="000030A7">
        <w:rPr>
          <w:b/>
          <w:color w:val="00B050"/>
          <w:sz w:val="24"/>
          <w:szCs w:val="24"/>
        </w:rPr>
        <w:t>the development will incorporate Sustainable Drainage Systems (</w:t>
      </w:r>
      <w:proofErr w:type="spellStart"/>
      <w:r w:rsidRPr="000030A7">
        <w:rPr>
          <w:b/>
          <w:color w:val="00B050"/>
          <w:sz w:val="24"/>
          <w:szCs w:val="24"/>
        </w:rPr>
        <w:t>SuDS</w:t>
      </w:r>
      <w:proofErr w:type="spellEnd"/>
      <w:r w:rsidRPr="000030A7">
        <w:rPr>
          <w:b/>
          <w:color w:val="00B050"/>
          <w:sz w:val="24"/>
          <w:szCs w:val="24"/>
        </w:rPr>
        <w:t>) which involve the integration of objectives to manage flood risks, prevent pollution but also to provide places that are good for people and wildlife and will provide a connection to the nearest point of adequate capacity in the sewerage network, as advised by the service provider.</w:t>
      </w:r>
      <w:r w:rsidR="00535478">
        <w:rPr>
          <w:b/>
          <w:color w:val="00B050"/>
          <w:sz w:val="24"/>
          <w:szCs w:val="24"/>
        </w:rPr>
        <w:t xml:space="preserve"> (See Paragraph 6.9)</w:t>
      </w:r>
    </w:p>
    <w:p w14:paraId="77D9FA91" w14:textId="77777777" w:rsidR="00535478" w:rsidRDefault="00535478" w:rsidP="00535478">
      <w:pPr>
        <w:spacing w:after="0" w:line="276" w:lineRule="auto"/>
        <w:jc w:val="both"/>
        <w:rPr>
          <w:b/>
          <w:color w:val="00B050"/>
          <w:sz w:val="24"/>
          <w:szCs w:val="24"/>
        </w:rPr>
      </w:pPr>
    </w:p>
    <w:p w14:paraId="006E85B0" w14:textId="77777777" w:rsidR="00535478" w:rsidRPr="000030A7" w:rsidRDefault="00535478" w:rsidP="00535478">
      <w:pPr>
        <w:spacing w:after="0" w:line="276" w:lineRule="auto"/>
        <w:ind w:left="709" w:hanging="709"/>
        <w:jc w:val="both"/>
        <w:rPr>
          <w:b/>
          <w:color w:val="00B050"/>
          <w:sz w:val="24"/>
          <w:szCs w:val="24"/>
        </w:rPr>
      </w:pPr>
      <w:r w:rsidRPr="000030A7">
        <w:rPr>
          <w:b/>
          <w:color w:val="00B050"/>
          <w:sz w:val="24"/>
          <w:szCs w:val="24"/>
        </w:rPr>
        <w:t>SEA3 Conservation Areas</w:t>
      </w:r>
    </w:p>
    <w:p w14:paraId="2B0B71E7" w14:textId="77777777" w:rsidR="00535478" w:rsidRPr="000030A7" w:rsidRDefault="00535478" w:rsidP="00535478">
      <w:pPr>
        <w:spacing w:after="0" w:line="276" w:lineRule="auto"/>
        <w:jc w:val="both"/>
        <w:rPr>
          <w:b/>
          <w:color w:val="00B050"/>
          <w:sz w:val="24"/>
          <w:szCs w:val="24"/>
        </w:rPr>
      </w:pPr>
    </w:p>
    <w:p w14:paraId="711D70E6" w14:textId="77777777" w:rsidR="00535478" w:rsidRDefault="00535478" w:rsidP="00535478">
      <w:pPr>
        <w:spacing w:after="0" w:line="276" w:lineRule="auto"/>
        <w:jc w:val="both"/>
        <w:rPr>
          <w:b/>
          <w:color w:val="00B050"/>
          <w:sz w:val="24"/>
          <w:szCs w:val="24"/>
        </w:rPr>
      </w:pPr>
      <w:r w:rsidRPr="004A6F6A">
        <w:rPr>
          <w:b/>
          <w:color w:val="00B050"/>
          <w:sz w:val="24"/>
          <w:szCs w:val="24"/>
        </w:rPr>
        <w:t xml:space="preserve">Conservation Areas and their settings must be conserved or enhanced in a manner appropriate to their significance. The enhancement of a Conservation Area or its setting will be </w:t>
      </w:r>
      <w:proofErr w:type="gramStart"/>
      <w:r w:rsidRPr="004A6F6A">
        <w:rPr>
          <w:b/>
          <w:color w:val="00B050"/>
          <w:sz w:val="24"/>
          <w:szCs w:val="24"/>
        </w:rPr>
        <w:t>supported</w:t>
      </w:r>
      <w:r>
        <w:rPr>
          <w:b/>
          <w:color w:val="00B050"/>
          <w:sz w:val="24"/>
          <w:szCs w:val="24"/>
        </w:rPr>
        <w:t xml:space="preserve"> </w:t>
      </w:r>
      <w:r w:rsidRPr="004A6F6A">
        <w:rPr>
          <w:b/>
          <w:color w:val="00B050"/>
          <w:sz w:val="24"/>
          <w:szCs w:val="24"/>
        </w:rPr>
        <w:t>.</w:t>
      </w:r>
      <w:proofErr w:type="gramEnd"/>
      <w:r>
        <w:rPr>
          <w:b/>
          <w:color w:val="00B050"/>
          <w:sz w:val="24"/>
          <w:szCs w:val="24"/>
        </w:rPr>
        <w:t>(See paragraph 6.12)</w:t>
      </w:r>
    </w:p>
    <w:p w14:paraId="118125ED" w14:textId="77777777" w:rsidR="00535478" w:rsidRDefault="00535478" w:rsidP="00535478">
      <w:pPr>
        <w:spacing w:after="0" w:line="276" w:lineRule="auto"/>
        <w:jc w:val="both"/>
        <w:rPr>
          <w:b/>
          <w:color w:val="00B050"/>
          <w:sz w:val="24"/>
          <w:szCs w:val="24"/>
        </w:rPr>
      </w:pPr>
    </w:p>
    <w:p w14:paraId="2298A26E" w14:textId="77777777" w:rsidR="00535478" w:rsidRPr="000030A7" w:rsidRDefault="00535478" w:rsidP="00535478">
      <w:pPr>
        <w:spacing w:after="0" w:line="276" w:lineRule="auto"/>
        <w:ind w:left="720" w:hanging="720"/>
        <w:jc w:val="both"/>
        <w:rPr>
          <w:b/>
          <w:color w:val="00B050"/>
          <w:sz w:val="24"/>
          <w:szCs w:val="24"/>
        </w:rPr>
      </w:pPr>
      <w:r w:rsidRPr="000030A7">
        <w:rPr>
          <w:b/>
          <w:color w:val="00B050"/>
          <w:sz w:val="24"/>
          <w:szCs w:val="24"/>
        </w:rPr>
        <w:t xml:space="preserve">SEA4 </w:t>
      </w:r>
      <w:proofErr w:type="spellStart"/>
      <w:r w:rsidRPr="000030A7">
        <w:rPr>
          <w:b/>
          <w:color w:val="00B050"/>
          <w:sz w:val="24"/>
          <w:szCs w:val="24"/>
        </w:rPr>
        <w:t>Bishopstone</w:t>
      </w:r>
      <w:proofErr w:type="spellEnd"/>
      <w:r w:rsidRPr="000030A7">
        <w:rPr>
          <w:b/>
          <w:color w:val="00B050"/>
          <w:sz w:val="24"/>
          <w:szCs w:val="24"/>
        </w:rPr>
        <w:t xml:space="preserve"> Conservation Area</w:t>
      </w:r>
    </w:p>
    <w:p w14:paraId="549C2BAE" w14:textId="77777777" w:rsidR="00535478" w:rsidRPr="000030A7" w:rsidRDefault="00535478" w:rsidP="00535478">
      <w:pPr>
        <w:spacing w:after="0" w:line="276" w:lineRule="auto"/>
        <w:jc w:val="both"/>
        <w:rPr>
          <w:b/>
          <w:color w:val="00B050"/>
          <w:sz w:val="24"/>
          <w:szCs w:val="24"/>
        </w:rPr>
      </w:pPr>
    </w:p>
    <w:p w14:paraId="06448443" w14:textId="77777777" w:rsidR="00535478" w:rsidRDefault="00535478" w:rsidP="00535478">
      <w:pPr>
        <w:spacing w:after="0" w:line="276" w:lineRule="auto"/>
        <w:jc w:val="both"/>
        <w:rPr>
          <w:b/>
          <w:color w:val="00B050"/>
          <w:sz w:val="24"/>
          <w:szCs w:val="24"/>
        </w:rPr>
      </w:pPr>
      <w:r w:rsidRPr="00D2395A">
        <w:rPr>
          <w:b/>
          <w:color w:val="00B050"/>
          <w:sz w:val="24"/>
          <w:szCs w:val="24"/>
        </w:rPr>
        <w:lastRenderedPageBreak/>
        <w:t xml:space="preserve">Development affecting </w:t>
      </w:r>
      <w:proofErr w:type="spellStart"/>
      <w:r w:rsidRPr="00D2395A">
        <w:rPr>
          <w:b/>
          <w:color w:val="00B050"/>
          <w:sz w:val="24"/>
          <w:szCs w:val="24"/>
        </w:rPr>
        <w:t>Bishopstone</w:t>
      </w:r>
      <w:proofErr w:type="spellEnd"/>
      <w:r w:rsidRPr="00D2395A">
        <w:rPr>
          <w:b/>
          <w:color w:val="00B050"/>
          <w:sz w:val="24"/>
          <w:szCs w:val="24"/>
        </w:rPr>
        <w:t xml:space="preserve"> Conservation Area or its setting must demonstrate how it respects the isolated character and </w:t>
      </w:r>
      <w:proofErr w:type="spellStart"/>
      <w:r w:rsidRPr="00D2395A">
        <w:rPr>
          <w:b/>
          <w:color w:val="00B050"/>
          <w:sz w:val="24"/>
          <w:szCs w:val="24"/>
        </w:rPr>
        <w:t>downland</w:t>
      </w:r>
      <w:proofErr w:type="spellEnd"/>
      <w:r w:rsidRPr="00D2395A">
        <w:rPr>
          <w:b/>
          <w:color w:val="00B050"/>
          <w:sz w:val="24"/>
          <w:szCs w:val="24"/>
        </w:rPr>
        <w:t xml:space="preserve"> setting – including the valley and ridgelines aro</w:t>
      </w:r>
      <w:r>
        <w:rPr>
          <w:b/>
          <w:color w:val="00B050"/>
          <w:sz w:val="24"/>
          <w:szCs w:val="24"/>
        </w:rPr>
        <w:t>und the valley – of the village</w:t>
      </w:r>
      <w:r w:rsidRPr="000030A7">
        <w:rPr>
          <w:b/>
          <w:color w:val="00B050"/>
          <w:sz w:val="24"/>
          <w:szCs w:val="24"/>
        </w:rPr>
        <w:t>.</w:t>
      </w:r>
      <w:r>
        <w:rPr>
          <w:b/>
          <w:color w:val="00B050"/>
          <w:sz w:val="24"/>
          <w:szCs w:val="24"/>
        </w:rPr>
        <w:t xml:space="preserve"> (See Paragraph 6.15)</w:t>
      </w:r>
    </w:p>
    <w:p w14:paraId="0D92ADD9" w14:textId="77777777" w:rsidR="00535478" w:rsidRDefault="00535478" w:rsidP="00535478">
      <w:pPr>
        <w:spacing w:after="0" w:line="276" w:lineRule="auto"/>
        <w:jc w:val="both"/>
        <w:rPr>
          <w:b/>
          <w:color w:val="00B050"/>
          <w:sz w:val="24"/>
          <w:szCs w:val="24"/>
        </w:rPr>
      </w:pPr>
    </w:p>
    <w:p w14:paraId="4F241774" w14:textId="77777777" w:rsidR="00535478" w:rsidRPr="000030A7" w:rsidRDefault="00535478" w:rsidP="00535478">
      <w:pPr>
        <w:spacing w:after="0" w:line="276" w:lineRule="auto"/>
        <w:jc w:val="both"/>
        <w:rPr>
          <w:rFonts w:cstheme="minorHAnsi"/>
          <w:b/>
          <w:color w:val="00B050"/>
          <w:sz w:val="24"/>
          <w:szCs w:val="24"/>
        </w:rPr>
      </w:pPr>
      <w:r w:rsidRPr="000030A7">
        <w:rPr>
          <w:rFonts w:cstheme="minorHAnsi"/>
          <w:b/>
          <w:color w:val="00B050"/>
          <w:sz w:val="24"/>
          <w:szCs w:val="24"/>
        </w:rPr>
        <w:t>SEA5 Areas of Established Character</w:t>
      </w:r>
    </w:p>
    <w:p w14:paraId="36A48AC4" w14:textId="77777777" w:rsidR="00535478" w:rsidRPr="000030A7" w:rsidRDefault="00535478" w:rsidP="00535478">
      <w:pPr>
        <w:spacing w:after="0" w:line="276" w:lineRule="auto"/>
        <w:ind w:left="709"/>
        <w:jc w:val="both"/>
        <w:rPr>
          <w:rFonts w:cstheme="minorHAnsi"/>
          <w:b/>
          <w:color w:val="00B050"/>
          <w:sz w:val="24"/>
          <w:szCs w:val="24"/>
        </w:rPr>
      </w:pPr>
    </w:p>
    <w:p w14:paraId="616C61EF" w14:textId="77777777" w:rsidR="00535478" w:rsidRPr="000030A7" w:rsidRDefault="00535478" w:rsidP="00535478">
      <w:pPr>
        <w:spacing w:after="0" w:line="276" w:lineRule="auto"/>
        <w:jc w:val="both"/>
        <w:rPr>
          <w:rFonts w:cstheme="minorHAnsi"/>
          <w:b/>
          <w:color w:val="00B050"/>
          <w:sz w:val="24"/>
          <w:szCs w:val="24"/>
        </w:rPr>
      </w:pPr>
      <w:r w:rsidRPr="00EA0CDF">
        <w:rPr>
          <w:rFonts w:cstheme="minorHAnsi"/>
          <w:b/>
          <w:color w:val="00B050"/>
          <w:sz w:val="24"/>
          <w:szCs w:val="24"/>
        </w:rPr>
        <w:t xml:space="preserve">Development within Areas of Established Character, as shown on </w:t>
      </w:r>
      <w:r w:rsidRPr="003E135D">
        <w:rPr>
          <w:rFonts w:cstheme="minorHAnsi"/>
          <w:b/>
          <w:color w:val="00B050"/>
          <w:sz w:val="24"/>
          <w:szCs w:val="24"/>
        </w:rPr>
        <w:t>Map 4,</w:t>
      </w:r>
      <w:r w:rsidRPr="00EA0CDF">
        <w:rPr>
          <w:rFonts w:cstheme="minorHAnsi"/>
          <w:b/>
          <w:color w:val="00B050"/>
          <w:sz w:val="24"/>
          <w:szCs w:val="24"/>
        </w:rPr>
        <w:t xml:space="preserve"> must demonstrate how it respects and appears in keeping with the existing character of the Area in terms of spaciousness</w:t>
      </w:r>
      <w:r w:rsidRPr="000030A7">
        <w:rPr>
          <w:rFonts w:cstheme="minorHAnsi"/>
          <w:b/>
          <w:color w:val="00B050"/>
          <w:sz w:val="24"/>
          <w:szCs w:val="24"/>
        </w:rPr>
        <w:t>, building heights, building size and site coverage, building lines, boundary treatments, trees a</w:t>
      </w:r>
      <w:r>
        <w:rPr>
          <w:rFonts w:cstheme="minorHAnsi"/>
          <w:b/>
          <w:color w:val="00B050"/>
          <w:sz w:val="24"/>
          <w:szCs w:val="24"/>
        </w:rPr>
        <w:t>nd landscaping</w:t>
      </w:r>
      <w:r w:rsidRPr="000030A7">
        <w:rPr>
          <w:rFonts w:cstheme="minorHAnsi"/>
          <w:b/>
          <w:color w:val="00B050"/>
          <w:sz w:val="24"/>
          <w:szCs w:val="24"/>
        </w:rPr>
        <w:t>. The Areas of Established Character in Seaford are:</w:t>
      </w:r>
    </w:p>
    <w:p w14:paraId="15F5FAC6" w14:textId="77777777" w:rsidR="00535478" w:rsidRPr="000030A7" w:rsidRDefault="00535478" w:rsidP="00535478">
      <w:pPr>
        <w:pStyle w:val="ListParagraph"/>
        <w:numPr>
          <w:ilvl w:val="0"/>
          <w:numId w:val="2"/>
        </w:numPr>
        <w:spacing w:after="0" w:line="276" w:lineRule="auto"/>
        <w:jc w:val="both"/>
        <w:rPr>
          <w:rFonts w:cstheme="minorHAnsi"/>
          <w:b/>
          <w:color w:val="00B050"/>
          <w:sz w:val="24"/>
          <w:szCs w:val="24"/>
        </w:rPr>
      </w:pPr>
      <w:proofErr w:type="spellStart"/>
      <w:r w:rsidRPr="000030A7">
        <w:rPr>
          <w:rFonts w:cstheme="minorHAnsi"/>
          <w:b/>
          <w:color w:val="00B050"/>
          <w:sz w:val="24"/>
          <w:szCs w:val="24"/>
        </w:rPr>
        <w:t>Firle</w:t>
      </w:r>
      <w:proofErr w:type="spellEnd"/>
      <w:r w:rsidRPr="000030A7">
        <w:rPr>
          <w:rFonts w:cstheme="minorHAnsi"/>
          <w:b/>
          <w:color w:val="00B050"/>
          <w:sz w:val="24"/>
          <w:szCs w:val="24"/>
        </w:rPr>
        <w:t xml:space="preserve"> Road area including </w:t>
      </w:r>
      <w:proofErr w:type="spellStart"/>
      <w:r w:rsidRPr="000030A7">
        <w:rPr>
          <w:rFonts w:cstheme="minorHAnsi"/>
          <w:b/>
          <w:color w:val="00B050"/>
          <w:sz w:val="24"/>
          <w:szCs w:val="24"/>
        </w:rPr>
        <w:t>Firle</w:t>
      </w:r>
      <w:proofErr w:type="spellEnd"/>
      <w:r w:rsidRPr="000030A7">
        <w:rPr>
          <w:rFonts w:cstheme="minorHAnsi"/>
          <w:b/>
          <w:color w:val="00B050"/>
          <w:sz w:val="24"/>
          <w:szCs w:val="24"/>
        </w:rPr>
        <w:t xml:space="preserve"> Close, </w:t>
      </w:r>
      <w:proofErr w:type="spellStart"/>
      <w:r w:rsidRPr="000030A7">
        <w:rPr>
          <w:rFonts w:cstheme="minorHAnsi"/>
          <w:b/>
          <w:color w:val="00B050"/>
          <w:sz w:val="24"/>
          <w:szCs w:val="24"/>
        </w:rPr>
        <w:t>Firle</w:t>
      </w:r>
      <w:proofErr w:type="spellEnd"/>
      <w:r w:rsidRPr="000030A7">
        <w:rPr>
          <w:rFonts w:cstheme="minorHAnsi"/>
          <w:b/>
          <w:color w:val="00B050"/>
          <w:sz w:val="24"/>
          <w:szCs w:val="24"/>
        </w:rPr>
        <w:t xml:space="preserve"> Grange and </w:t>
      </w:r>
      <w:proofErr w:type="spellStart"/>
      <w:r w:rsidRPr="000030A7">
        <w:rPr>
          <w:rFonts w:cstheme="minorHAnsi"/>
          <w:b/>
          <w:color w:val="00B050"/>
          <w:sz w:val="24"/>
          <w:szCs w:val="24"/>
        </w:rPr>
        <w:t>Firle</w:t>
      </w:r>
      <w:proofErr w:type="spellEnd"/>
      <w:r w:rsidRPr="000030A7">
        <w:rPr>
          <w:rFonts w:cstheme="minorHAnsi"/>
          <w:b/>
          <w:color w:val="00B050"/>
          <w:sz w:val="24"/>
          <w:szCs w:val="24"/>
        </w:rPr>
        <w:t xml:space="preserve"> Drive</w:t>
      </w:r>
    </w:p>
    <w:p w14:paraId="18A23574" w14:textId="77777777" w:rsidR="00535478" w:rsidRPr="000030A7" w:rsidRDefault="00535478" w:rsidP="00535478">
      <w:pPr>
        <w:pStyle w:val="ListParagraph"/>
        <w:numPr>
          <w:ilvl w:val="0"/>
          <w:numId w:val="2"/>
        </w:numPr>
        <w:spacing w:after="0" w:line="276" w:lineRule="auto"/>
        <w:jc w:val="both"/>
        <w:rPr>
          <w:rFonts w:cstheme="minorHAnsi"/>
          <w:b/>
          <w:color w:val="00B050"/>
          <w:sz w:val="24"/>
          <w:szCs w:val="24"/>
        </w:rPr>
      </w:pPr>
      <w:r w:rsidRPr="000030A7">
        <w:rPr>
          <w:rFonts w:cstheme="minorHAnsi"/>
          <w:b/>
          <w:color w:val="00B050"/>
          <w:sz w:val="24"/>
          <w:szCs w:val="24"/>
        </w:rPr>
        <w:t>St Peter’s Road</w:t>
      </w:r>
    </w:p>
    <w:p w14:paraId="21E96D79" w14:textId="77777777" w:rsidR="00535478" w:rsidRPr="000030A7" w:rsidRDefault="00535478" w:rsidP="00535478">
      <w:pPr>
        <w:pStyle w:val="ListParagraph"/>
        <w:numPr>
          <w:ilvl w:val="0"/>
          <w:numId w:val="2"/>
        </w:numPr>
        <w:spacing w:after="0" w:line="276" w:lineRule="auto"/>
        <w:jc w:val="both"/>
        <w:rPr>
          <w:rFonts w:cstheme="minorHAnsi"/>
          <w:b/>
          <w:color w:val="00B050"/>
          <w:sz w:val="24"/>
          <w:szCs w:val="24"/>
        </w:rPr>
      </w:pPr>
      <w:r w:rsidRPr="000030A7">
        <w:rPr>
          <w:rFonts w:cstheme="minorHAnsi"/>
          <w:b/>
          <w:color w:val="00B050"/>
          <w:sz w:val="24"/>
          <w:szCs w:val="24"/>
        </w:rPr>
        <w:t>Glebe Drive</w:t>
      </w:r>
    </w:p>
    <w:p w14:paraId="131975A1" w14:textId="77777777" w:rsidR="00535478" w:rsidRPr="000030A7" w:rsidRDefault="00535478" w:rsidP="00535478">
      <w:pPr>
        <w:pStyle w:val="ListParagraph"/>
        <w:numPr>
          <w:ilvl w:val="0"/>
          <w:numId w:val="2"/>
        </w:numPr>
        <w:spacing w:after="0" w:line="276" w:lineRule="auto"/>
        <w:jc w:val="both"/>
        <w:rPr>
          <w:rFonts w:cstheme="minorHAnsi"/>
          <w:b/>
          <w:color w:val="00B050"/>
          <w:sz w:val="24"/>
          <w:szCs w:val="24"/>
        </w:rPr>
      </w:pPr>
      <w:r w:rsidRPr="000030A7">
        <w:rPr>
          <w:rFonts w:cstheme="minorHAnsi"/>
          <w:b/>
          <w:color w:val="00B050"/>
          <w:sz w:val="24"/>
          <w:szCs w:val="24"/>
        </w:rPr>
        <w:t xml:space="preserve">Belgrave Road, </w:t>
      </w:r>
      <w:proofErr w:type="spellStart"/>
      <w:r w:rsidRPr="000030A7">
        <w:rPr>
          <w:rFonts w:cstheme="minorHAnsi"/>
          <w:b/>
          <w:color w:val="00B050"/>
          <w:sz w:val="24"/>
          <w:szCs w:val="24"/>
        </w:rPr>
        <w:t>Westdown</w:t>
      </w:r>
      <w:proofErr w:type="spellEnd"/>
      <w:r w:rsidRPr="000030A7">
        <w:rPr>
          <w:rFonts w:cstheme="minorHAnsi"/>
          <w:b/>
          <w:color w:val="00B050"/>
          <w:sz w:val="24"/>
          <w:szCs w:val="24"/>
        </w:rPr>
        <w:t xml:space="preserve"> Road and Beacon Road</w:t>
      </w:r>
    </w:p>
    <w:p w14:paraId="52C25D94" w14:textId="77777777" w:rsidR="00535478" w:rsidRPr="000030A7" w:rsidRDefault="00535478" w:rsidP="00535478">
      <w:pPr>
        <w:pStyle w:val="ListParagraph"/>
        <w:numPr>
          <w:ilvl w:val="0"/>
          <w:numId w:val="2"/>
        </w:numPr>
        <w:spacing w:after="0" w:line="276" w:lineRule="auto"/>
        <w:jc w:val="both"/>
        <w:rPr>
          <w:rFonts w:cstheme="minorHAnsi"/>
          <w:b/>
          <w:color w:val="00B050"/>
          <w:sz w:val="24"/>
          <w:szCs w:val="24"/>
        </w:rPr>
      </w:pPr>
      <w:r w:rsidRPr="000030A7">
        <w:rPr>
          <w:rFonts w:cstheme="minorHAnsi"/>
          <w:b/>
          <w:color w:val="00B050"/>
          <w:sz w:val="24"/>
          <w:szCs w:val="24"/>
        </w:rPr>
        <w:t>Corsica Hall</w:t>
      </w:r>
    </w:p>
    <w:p w14:paraId="058CEA89" w14:textId="77777777" w:rsidR="00535478" w:rsidRPr="000030A7" w:rsidRDefault="00535478" w:rsidP="00535478">
      <w:pPr>
        <w:pStyle w:val="ListParagraph"/>
        <w:numPr>
          <w:ilvl w:val="0"/>
          <w:numId w:val="2"/>
        </w:numPr>
        <w:spacing w:after="0" w:line="276" w:lineRule="auto"/>
        <w:jc w:val="both"/>
        <w:rPr>
          <w:rFonts w:cstheme="minorHAnsi"/>
          <w:b/>
          <w:color w:val="00B050"/>
          <w:sz w:val="24"/>
          <w:szCs w:val="24"/>
        </w:rPr>
      </w:pPr>
      <w:proofErr w:type="spellStart"/>
      <w:r w:rsidRPr="000030A7">
        <w:rPr>
          <w:rFonts w:cstheme="minorHAnsi"/>
          <w:b/>
          <w:color w:val="00B050"/>
          <w:sz w:val="24"/>
          <w:szCs w:val="24"/>
        </w:rPr>
        <w:t>Chyngton</w:t>
      </w:r>
      <w:proofErr w:type="spellEnd"/>
      <w:r w:rsidRPr="000030A7">
        <w:rPr>
          <w:rFonts w:cstheme="minorHAnsi"/>
          <w:b/>
          <w:color w:val="00B050"/>
          <w:sz w:val="24"/>
          <w:szCs w:val="24"/>
        </w:rPr>
        <w:t xml:space="preserve"> Road and Cuckmere Road</w:t>
      </w:r>
    </w:p>
    <w:p w14:paraId="0A0E2F3D" w14:textId="77777777" w:rsidR="00535478" w:rsidRPr="000030A7" w:rsidRDefault="00535478" w:rsidP="00535478">
      <w:pPr>
        <w:pStyle w:val="ListParagraph"/>
        <w:numPr>
          <w:ilvl w:val="0"/>
          <w:numId w:val="2"/>
        </w:numPr>
        <w:spacing w:after="0" w:line="276" w:lineRule="auto"/>
        <w:jc w:val="both"/>
        <w:rPr>
          <w:rFonts w:cstheme="minorHAnsi"/>
          <w:b/>
          <w:color w:val="00B050"/>
          <w:sz w:val="24"/>
          <w:szCs w:val="24"/>
        </w:rPr>
      </w:pPr>
      <w:proofErr w:type="spellStart"/>
      <w:r w:rsidRPr="000030A7">
        <w:rPr>
          <w:rFonts w:cstheme="minorHAnsi"/>
          <w:b/>
          <w:color w:val="00B050"/>
          <w:sz w:val="24"/>
          <w:szCs w:val="24"/>
        </w:rPr>
        <w:t>Chyngton</w:t>
      </w:r>
      <w:proofErr w:type="spellEnd"/>
      <w:r w:rsidRPr="000030A7">
        <w:rPr>
          <w:rFonts w:cstheme="minorHAnsi"/>
          <w:b/>
          <w:color w:val="00B050"/>
          <w:sz w:val="24"/>
          <w:szCs w:val="24"/>
        </w:rPr>
        <w:t xml:space="preserve"> Way area including South Way and </w:t>
      </w:r>
      <w:proofErr w:type="spellStart"/>
      <w:r w:rsidRPr="000030A7">
        <w:rPr>
          <w:rFonts w:cstheme="minorHAnsi"/>
          <w:b/>
          <w:color w:val="00B050"/>
          <w:sz w:val="24"/>
          <w:szCs w:val="24"/>
        </w:rPr>
        <w:t>Lullington</w:t>
      </w:r>
      <w:proofErr w:type="spellEnd"/>
      <w:r w:rsidRPr="000030A7">
        <w:rPr>
          <w:rFonts w:cstheme="minorHAnsi"/>
          <w:b/>
          <w:color w:val="00B050"/>
          <w:sz w:val="24"/>
          <w:szCs w:val="24"/>
        </w:rPr>
        <w:t xml:space="preserve"> Close</w:t>
      </w:r>
    </w:p>
    <w:p w14:paraId="5D36E3BE" w14:textId="77777777" w:rsidR="00535478" w:rsidRDefault="00535478" w:rsidP="00535478">
      <w:pPr>
        <w:pStyle w:val="ListParagraph"/>
        <w:numPr>
          <w:ilvl w:val="0"/>
          <w:numId w:val="2"/>
        </w:numPr>
        <w:spacing w:after="0" w:line="276" w:lineRule="auto"/>
        <w:jc w:val="both"/>
        <w:rPr>
          <w:rFonts w:cstheme="minorHAnsi"/>
          <w:b/>
          <w:color w:val="00B050"/>
          <w:sz w:val="24"/>
          <w:szCs w:val="24"/>
        </w:rPr>
      </w:pPr>
      <w:r w:rsidRPr="000030A7">
        <w:rPr>
          <w:rFonts w:cstheme="minorHAnsi"/>
          <w:b/>
          <w:color w:val="00B050"/>
          <w:sz w:val="24"/>
          <w:szCs w:val="24"/>
        </w:rPr>
        <w:t>Blatchington Road/Richmond Terrace and Broad Street, north of the A259</w:t>
      </w:r>
    </w:p>
    <w:p w14:paraId="1DCBCCC9" w14:textId="77777777" w:rsidR="00535478" w:rsidRDefault="00535478" w:rsidP="00535478">
      <w:pPr>
        <w:pStyle w:val="ListParagraph"/>
        <w:spacing w:after="0" w:line="276" w:lineRule="auto"/>
        <w:ind w:left="360"/>
        <w:jc w:val="both"/>
        <w:rPr>
          <w:rFonts w:cstheme="minorHAnsi"/>
          <w:b/>
          <w:color w:val="00B050"/>
          <w:sz w:val="24"/>
          <w:szCs w:val="24"/>
        </w:rPr>
      </w:pPr>
      <w:r>
        <w:rPr>
          <w:rFonts w:cstheme="minorHAnsi"/>
          <w:b/>
          <w:color w:val="00B050"/>
          <w:sz w:val="24"/>
          <w:szCs w:val="24"/>
        </w:rPr>
        <w:t xml:space="preserve"> (See paragraph 6.25)</w:t>
      </w:r>
      <w:r w:rsidRPr="000030A7">
        <w:rPr>
          <w:rFonts w:cstheme="minorHAnsi"/>
          <w:b/>
          <w:color w:val="00B050"/>
          <w:sz w:val="24"/>
          <w:szCs w:val="24"/>
        </w:rPr>
        <w:t>.</w:t>
      </w:r>
    </w:p>
    <w:p w14:paraId="2E7C0FEA" w14:textId="77777777" w:rsidR="00535478" w:rsidRDefault="00535478" w:rsidP="00535478">
      <w:pPr>
        <w:spacing w:after="0" w:line="276" w:lineRule="auto"/>
        <w:jc w:val="both"/>
        <w:rPr>
          <w:rFonts w:cstheme="minorHAnsi"/>
          <w:b/>
          <w:color w:val="00B050"/>
          <w:sz w:val="24"/>
          <w:szCs w:val="24"/>
        </w:rPr>
      </w:pPr>
    </w:p>
    <w:p w14:paraId="687B5621" w14:textId="77777777" w:rsidR="00535478" w:rsidRPr="000030A7" w:rsidRDefault="00535478" w:rsidP="00535478">
      <w:pPr>
        <w:spacing w:after="0" w:line="276" w:lineRule="auto"/>
        <w:jc w:val="both"/>
        <w:rPr>
          <w:b/>
          <w:color w:val="00B050"/>
          <w:sz w:val="24"/>
          <w:szCs w:val="24"/>
        </w:rPr>
      </w:pPr>
      <w:r w:rsidRPr="000030A7">
        <w:rPr>
          <w:b/>
          <w:color w:val="00B050"/>
          <w:sz w:val="24"/>
          <w:szCs w:val="24"/>
        </w:rPr>
        <w:t>SEA6 Development on the Seafront</w:t>
      </w:r>
    </w:p>
    <w:p w14:paraId="5EA40CD3" w14:textId="77777777" w:rsidR="00535478" w:rsidRPr="000030A7" w:rsidRDefault="00535478" w:rsidP="00535478">
      <w:pPr>
        <w:spacing w:after="0" w:line="276" w:lineRule="auto"/>
        <w:ind w:left="340" w:hanging="340"/>
        <w:jc w:val="both"/>
        <w:rPr>
          <w:b/>
          <w:color w:val="00B050"/>
          <w:sz w:val="24"/>
          <w:szCs w:val="24"/>
        </w:rPr>
      </w:pPr>
    </w:p>
    <w:p w14:paraId="568CD683" w14:textId="77777777" w:rsidR="00535478" w:rsidRPr="000030A7" w:rsidRDefault="00535478" w:rsidP="00535478">
      <w:pPr>
        <w:spacing w:after="0" w:line="276" w:lineRule="auto"/>
        <w:jc w:val="both"/>
        <w:rPr>
          <w:b/>
          <w:color w:val="00B050"/>
          <w:sz w:val="24"/>
          <w:szCs w:val="24"/>
        </w:rPr>
      </w:pPr>
      <w:r w:rsidRPr="001B78A9">
        <w:rPr>
          <w:b/>
          <w:color w:val="00B050"/>
          <w:sz w:val="24"/>
          <w:szCs w:val="24"/>
        </w:rPr>
        <w:t xml:space="preserve">Development at Seaford Seafront, as identified on </w:t>
      </w:r>
      <w:r w:rsidRPr="003E135D">
        <w:rPr>
          <w:b/>
          <w:color w:val="00B050"/>
          <w:sz w:val="24"/>
          <w:szCs w:val="24"/>
        </w:rPr>
        <w:t xml:space="preserve">Map </w:t>
      </w:r>
      <w:r>
        <w:rPr>
          <w:b/>
          <w:color w:val="00B050"/>
          <w:sz w:val="24"/>
          <w:szCs w:val="24"/>
        </w:rPr>
        <w:t>5</w:t>
      </w:r>
      <w:r w:rsidRPr="001B78A9">
        <w:rPr>
          <w:b/>
          <w:color w:val="00B050"/>
          <w:sz w:val="24"/>
          <w:szCs w:val="24"/>
        </w:rPr>
        <w:t>, should have regard to the General Design Guidelines for Seaford and should respond to the following design principles, as appropriate:</w:t>
      </w:r>
    </w:p>
    <w:p w14:paraId="740E53F3" w14:textId="77777777" w:rsidR="00535478" w:rsidRPr="000030A7" w:rsidRDefault="00535478" w:rsidP="00535478">
      <w:pPr>
        <w:spacing w:after="0" w:line="276" w:lineRule="auto"/>
        <w:ind w:left="340" w:hanging="340"/>
        <w:jc w:val="both"/>
        <w:rPr>
          <w:b/>
          <w:color w:val="00B050"/>
          <w:sz w:val="24"/>
          <w:szCs w:val="24"/>
        </w:rPr>
      </w:pPr>
      <w:r>
        <w:rPr>
          <w:b/>
          <w:color w:val="00B050"/>
          <w:sz w:val="24"/>
          <w:szCs w:val="24"/>
        </w:rPr>
        <w:t>a)</w:t>
      </w:r>
      <w:r>
        <w:rPr>
          <w:b/>
          <w:color w:val="00B050"/>
          <w:sz w:val="24"/>
          <w:szCs w:val="24"/>
        </w:rPr>
        <w:tab/>
        <w:t>development should not</w:t>
      </w:r>
      <w:r w:rsidRPr="000030A7">
        <w:rPr>
          <w:b/>
          <w:color w:val="00B050"/>
          <w:sz w:val="24"/>
          <w:szCs w:val="24"/>
        </w:rPr>
        <w:t xml:space="preserve"> detract from the natural, open, un-commercialised environment of the </w:t>
      </w:r>
      <w:proofErr w:type="gramStart"/>
      <w:r w:rsidRPr="000030A7">
        <w:rPr>
          <w:b/>
          <w:color w:val="00B050"/>
          <w:sz w:val="24"/>
          <w:szCs w:val="24"/>
        </w:rPr>
        <w:t>Seafront;</w:t>
      </w:r>
      <w:proofErr w:type="gramEnd"/>
      <w:r w:rsidRPr="000030A7">
        <w:rPr>
          <w:b/>
          <w:color w:val="00B050"/>
          <w:sz w:val="24"/>
          <w:szCs w:val="24"/>
        </w:rPr>
        <w:t xml:space="preserve"> </w:t>
      </w:r>
    </w:p>
    <w:p w14:paraId="64B794D9" w14:textId="77777777" w:rsidR="00535478" w:rsidRPr="000030A7" w:rsidRDefault="00535478" w:rsidP="00535478">
      <w:pPr>
        <w:spacing w:after="0" w:line="276" w:lineRule="auto"/>
        <w:ind w:left="340" w:hanging="340"/>
        <w:jc w:val="both"/>
        <w:rPr>
          <w:b/>
          <w:color w:val="00B050"/>
          <w:sz w:val="24"/>
          <w:szCs w:val="24"/>
        </w:rPr>
      </w:pPr>
      <w:r>
        <w:rPr>
          <w:b/>
          <w:color w:val="00B050"/>
          <w:sz w:val="24"/>
          <w:szCs w:val="24"/>
        </w:rPr>
        <w:t>b)</w:t>
      </w:r>
      <w:r>
        <w:rPr>
          <w:b/>
          <w:color w:val="00B050"/>
          <w:sz w:val="24"/>
          <w:szCs w:val="24"/>
        </w:rPr>
        <w:tab/>
        <w:t>development should be</w:t>
      </w:r>
      <w:r w:rsidRPr="000030A7">
        <w:rPr>
          <w:b/>
          <w:color w:val="00B050"/>
          <w:sz w:val="24"/>
          <w:szCs w:val="24"/>
        </w:rPr>
        <w:t xml:space="preserve"> designed to be resilient to impacts from adverse weather conditions (wind damage) and flood risk, and does not prejudice the ability of relevant agencies to manage the coastal flood risk, beach management and sea defence maintenance</w:t>
      </w:r>
    </w:p>
    <w:p w14:paraId="71D64788" w14:textId="77777777" w:rsidR="00535478" w:rsidRPr="000030A7" w:rsidRDefault="00535478" w:rsidP="00535478">
      <w:pPr>
        <w:spacing w:after="0" w:line="276" w:lineRule="auto"/>
        <w:ind w:left="340" w:hanging="340"/>
        <w:jc w:val="both"/>
        <w:rPr>
          <w:b/>
          <w:color w:val="00B050"/>
          <w:sz w:val="24"/>
          <w:szCs w:val="24"/>
        </w:rPr>
      </w:pPr>
      <w:r>
        <w:rPr>
          <w:b/>
          <w:color w:val="00B050"/>
          <w:sz w:val="24"/>
          <w:szCs w:val="24"/>
        </w:rPr>
        <w:t>c)</w:t>
      </w:r>
      <w:r>
        <w:rPr>
          <w:b/>
          <w:color w:val="00B050"/>
          <w:sz w:val="24"/>
          <w:szCs w:val="24"/>
        </w:rPr>
        <w:tab/>
        <w:t>development</w:t>
      </w:r>
      <w:r w:rsidRPr="000030A7">
        <w:rPr>
          <w:b/>
          <w:color w:val="00B050"/>
          <w:sz w:val="24"/>
          <w:szCs w:val="24"/>
        </w:rPr>
        <w:t xml:space="preserve"> should be low density and low rise so it does not impact significantly on the spatial or visual openness or attractiveness of the </w:t>
      </w:r>
      <w:r>
        <w:rPr>
          <w:b/>
          <w:color w:val="00B050"/>
          <w:sz w:val="24"/>
          <w:szCs w:val="24"/>
        </w:rPr>
        <w:t>Seafront and its vistas and resp</w:t>
      </w:r>
      <w:r w:rsidRPr="000030A7">
        <w:rPr>
          <w:b/>
          <w:color w:val="00B050"/>
          <w:sz w:val="24"/>
          <w:szCs w:val="24"/>
        </w:rPr>
        <w:t>ects the setting of and views to and from the South Downs National Park, the Heritage Coast, the shoreline and the Seaford Head Gateways;</w:t>
      </w:r>
    </w:p>
    <w:p w14:paraId="44833287" w14:textId="77777777" w:rsidR="00535478" w:rsidRPr="000030A7" w:rsidRDefault="00535478" w:rsidP="00535478">
      <w:pPr>
        <w:spacing w:after="0" w:line="276" w:lineRule="auto"/>
        <w:ind w:left="340" w:hanging="340"/>
        <w:jc w:val="both"/>
        <w:rPr>
          <w:b/>
          <w:color w:val="00B050"/>
          <w:sz w:val="24"/>
          <w:szCs w:val="24"/>
        </w:rPr>
      </w:pPr>
      <w:r>
        <w:rPr>
          <w:b/>
          <w:color w:val="00B050"/>
          <w:sz w:val="24"/>
          <w:szCs w:val="24"/>
        </w:rPr>
        <w:t>d)</w:t>
      </w:r>
      <w:r>
        <w:rPr>
          <w:b/>
          <w:color w:val="00B050"/>
          <w:sz w:val="24"/>
          <w:szCs w:val="24"/>
        </w:rPr>
        <w:tab/>
        <w:t>development should conserve or enhance</w:t>
      </w:r>
      <w:r w:rsidRPr="000030A7">
        <w:rPr>
          <w:b/>
          <w:color w:val="00B050"/>
          <w:sz w:val="24"/>
          <w:szCs w:val="24"/>
        </w:rPr>
        <w:t xml:space="preserve"> the biodiversity of the Seafront (for example, the kittiwake colony at Splash Point and the shingle vegetation at Tide Mills</w:t>
      </w:r>
      <w:proofErr w:type="gramStart"/>
      <w:r w:rsidRPr="000030A7">
        <w:rPr>
          <w:b/>
          <w:color w:val="00B050"/>
          <w:sz w:val="24"/>
          <w:szCs w:val="24"/>
        </w:rPr>
        <w:t>);</w:t>
      </w:r>
      <w:proofErr w:type="gramEnd"/>
    </w:p>
    <w:p w14:paraId="78364446" w14:textId="77777777" w:rsidR="00535478" w:rsidRPr="000030A7" w:rsidRDefault="00535478" w:rsidP="00535478">
      <w:pPr>
        <w:spacing w:after="0" w:line="276" w:lineRule="auto"/>
        <w:ind w:left="340" w:hanging="340"/>
        <w:jc w:val="both"/>
        <w:rPr>
          <w:b/>
          <w:color w:val="00B050"/>
          <w:sz w:val="24"/>
          <w:szCs w:val="24"/>
        </w:rPr>
      </w:pPr>
      <w:r>
        <w:rPr>
          <w:b/>
          <w:color w:val="00B050"/>
          <w:sz w:val="24"/>
          <w:szCs w:val="24"/>
        </w:rPr>
        <w:t>e)</w:t>
      </w:r>
      <w:r>
        <w:rPr>
          <w:b/>
          <w:color w:val="00B050"/>
          <w:sz w:val="24"/>
          <w:szCs w:val="24"/>
        </w:rPr>
        <w:tab/>
        <w:t>development should conserve</w:t>
      </w:r>
      <w:r w:rsidRPr="000030A7">
        <w:rPr>
          <w:b/>
          <w:color w:val="00B050"/>
          <w:sz w:val="24"/>
          <w:szCs w:val="24"/>
        </w:rPr>
        <w:t xml:space="preserve"> and enhance the amenity use of the seafront; and</w:t>
      </w:r>
    </w:p>
    <w:p w14:paraId="54E62C76" w14:textId="77777777" w:rsidR="00535478" w:rsidRDefault="00535478" w:rsidP="00535478">
      <w:pPr>
        <w:spacing w:after="0" w:line="276" w:lineRule="auto"/>
        <w:ind w:left="340" w:hanging="340"/>
        <w:jc w:val="both"/>
        <w:rPr>
          <w:b/>
          <w:color w:val="00B050"/>
          <w:sz w:val="24"/>
          <w:szCs w:val="24"/>
        </w:rPr>
      </w:pPr>
      <w:r w:rsidRPr="000030A7">
        <w:rPr>
          <w:b/>
          <w:color w:val="00B050"/>
          <w:sz w:val="24"/>
          <w:szCs w:val="24"/>
        </w:rPr>
        <w:t>f)</w:t>
      </w:r>
      <w:r w:rsidRPr="000030A7">
        <w:rPr>
          <w:b/>
          <w:color w:val="00B050"/>
          <w:sz w:val="24"/>
          <w:szCs w:val="24"/>
        </w:rPr>
        <w:tab/>
      </w:r>
      <w:r>
        <w:rPr>
          <w:b/>
          <w:color w:val="00B050"/>
          <w:sz w:val="24"/>
          <w:szCs w:val="24"/>
        </w:rPr>
        <w:t xml:space="preserve">development should take </w:t>
      </w:r>
      <w:r w:rsidRPr="000030A7">
        <w:rPr>
          <w:b/>
          <w:color w:val="00B050"/>
          <w:sz w:val="24"/>
          <w:szCs w:val="24"/>
        </w:rPr>
        <w:t xml:space="preserve">opportunities to enhance the public realm and improve walking and cycling </w:t>
      </w:r>
      <w:proofErr w:type="gramStart"/>
      <w:r w:rsidRPr="000030A7">
        <w:rPr>
          <w:b/>
          <w:color w:val="00B050"/>
          <w:sz w:val="24"/>
          <w:szCs w:val="24"/>
        </w:rPr>
        <w:t>facilities.</w:t>
      </w:r>
      <w:r>
        <w:rPr>
          <w:b/>
          <w:color w:val="00B050"/>
          <w:sz w:val="24"/>
          <w:szCs w:val="24"/>
        </w:rPr>
        <w:t>(</w:t>
      </w:r>
      <w:proofErr w:type="gramEnd"/>
      <w:r>
        <w:rPr>
          <w:b/>
          <w:color w:val="00B050"/>
          <w:sz w:val="24"/>
          <w:szCs w:val="24"/>
        </w:rPr>
        <w:t>See paragraph 6.28)</w:t>
      </w:r>
    </w:p>
    <w:p w14:paraId="1D448E99" w14:textId="77777777" w:rsidR="00535478" w:rsidRPr="000030A7" w:rsidRDefault="00535478" w:rsidP="00535478">
      <w:pPr>
        <w:tabs>
          <w:tab w:val="left" w:pos="5010"/>
        </w:tabs>
        <w:rPr>
          <w:b/>
          <w:color w:val="00B050"/>
          <w:sz w:val="24"/>
          <w:szCs w:val="24"/>
        </w:rPr>
      </w:pPr>
      <w:r w:rsidRPr="000030A7">
        <w:rPr>
          <w:b/>
          <w:color w:val="00B050"/>
          <w:sz w:val="24"/>
          <w:szCs w:val="24"/>
        </w:rPr>
        <w:lastRenderedPageBreak/>
        <w:t>SEA7 Recreational Facilities</w:t>
      </w:r>
    </w:p>
    <w:p w14:paraId="6A1F545A" w14:textId="77777777" w:rsidR="00535478" w:rsidRPr="000030A7" w:rsidRDefault="00535478" w:rsidP="00535478">
      <w:pPr>
        <w:spacing w:after="0" w:line="276" w:lineRule="auto"/>
        <w:ind w:left="720" w:hanging="720"/>
        <w:jc w:val="both"/>
        <w:rPr>
          <w:b/>
          <w:color w:val="00B050"/>
          <w:sz w:val="24"/>
          <w:szCs w:val="24"/>
        </w:rPr>
      </w:pPr>
    </w:p>
    <w:p w14:paraId="4EF3F98E" w14:textId="77777777" w:rsidR="00535478" w:rsidRPr="000030A7" w:rsidRDefault="00535478" w:rsidP="00535478">
      <w:pPr>
        <w:spacing w:after="0" w:line="276" w:lineRule="auto"/>
        <w:jc w:val="both"/>
        <w:rPr>
          <w:b/>
          <w:color w:val="00B050"/>
          <w:sz w:val="24"/>
          <w:szCs w:val="24"/>
        </w:rPr>
      </w:pPr>
      <w:r>
        <w:rPr>
          <w:b/>
          <w:color w:val="00B050"/>
          <w:sz w:val="24"/>
          <w:szCs w:val="24"/>
        </w:rPr>
        <w:t xml:space="preserve">The development of </w:t>
      </w:r>
      <w:r w:rsidRPr="000030A7">
        <w:rPr>
          <w:b/>
          <w:color w:val="00B050"/>
          <w:sz w:val="24"/>
          <w:szCs w:val="24"/>
        </w:rPr>
        <w:t>existing open space, sports and recreational buildings and land, including</w:t>
      </w:r>
      <w:r w:rsidRPr="000030A7">
        <w:rPr>
          <w:b/>
          <w:color w:val="0070C0"/>
          <w:sz w:val="24"/>
          <w:szCs w:val="24"/>
        </w:rPr>
        <w:t xml:space="preserve"> </w:t>
      </w:r>
      <w:r w:rsidRPr="001B78A9">
        <w:rPr>
          <w:b/>
          <w:color w:val="00B050"/>
          <w:sz w:val="24"/>
          <w:szCs w:val="24"/>
        </w:rPr>
        <w:t>playing fields, will not be supported unless:</w:t>
      </w:r>
    </w:p>
    <w:p w14:paraId="00B995E8" w14:textId="77777777" w:rsidR="00535478" w:rsidRPr="000030A7" w:rsidRDefault="00535478" w:rsidP="00535478">
      <w:pPr>
        <w:pStyle w:val="ListParagraph"/>
        <w:numPr>
          <w:ilvl w:val="1"/>
          <w:numId w:val="3"/>
        </w:numPr>
        <w:spacing w:after="0" w:line="276" w:lineRule="auto"/>
        <w:ind w:left="357" w:hanging="357"/>
        <w:jc w:val="both"/>
        <w:rPr>
          <w:b/>
          <w:color w:val="00B050"/>
          <w:sz w:val="24"/>
          <w:szCs w:val="24"/>
        </w:rPr>
      </w:pPr>
      <w:r w:rsidRPr="000030A7">
        <w:rPr>
          <w:b/>
          <w:color w:val="00B050"/>
          <w:sz w:val="24"/>
          <w:szCs w:val="24"/>
        </w:rPr>
        <w:t>an assessment has been undertaken which has clearly shown the open space, buildings or land to be surplus to requirements; or</w:t>
      </w:r>
    </w:p>
    <w:p w14:paraId="6AB8862C" w14:textId="77777777" w:rsidR="00535478" w:rsidRPr="000030A7" w:rsidRDefault="00535478" w:rsidP="00535478">
      <w:pPr>
        <w:pStyle w:val="ListParagraph"/>
        <w:numPr>
          <w:ilvl w:val="1"/>
          <w:numId w:val="3"/>
        </w:numPr>
        <w:spacing w:after="0" w:line="276" w:lineRule="auto"/>
        <w:ind w:left="357" w:hanging="357"/>
        <w:jc w:val="both"/>
        <w:rPr>
          <w:b/>
          <w:color w:val="00B050"/>
          <w:sz w:val="24"/>
          <w:szCs w:val="24"/>
        </w:rPr>
      </w:pPr>
      <w:r w:rsidRPr="000030A7">
        <w:rPr>
          <w:b/>
          <w:color w:val="00B050"/>
          <w:sz w:val="24"/>
          <w:szCs w:val="24"/>
        </w:rPr>
        <w:t>the loss resulting from the proposed development would be replaced by equivalent or better provision in terms of quantity and quality in a suitable location; or</w:t>
      </w:r>
    </w:p>
    <w:p w14:paraId="44003C39" w14:textId="77777777" w:rsidR="00535478" w:rsidRDefault="00535478" w:rsidP="00535478">
      <w:pPr>
        <w:pStyle w:val="ListParagraph"/>
        <w:numPr>
          <w:ilvl w:val="1"/>
          <w:numId w:val="3"/>
        </w:numPr>
        <w:spacing w:after="0" w:line="276" w:lineRule="auto"/>
        <w:ind w:left="357" w:hanging="357"/>
        <w:jc w:val="both"/>
        <w:rPr>
          <w:b/>
          <w:color w:val="00B050"/>
          <w:sz w:val="24"/>
          <w:szCs w:val="24"/>
        </w:rPr>
      </w:pPr>
      <w:r w:rsidRPr="000030A7">
        <w:rPr>
          <w:b/>
          <w:color w:val="00B050"/>
          <w:sz w:val="24"/>
          <w:szCs w:val="24"/>
        </w:rPr>
        <w:t>the development is for alternative sports and recreational provision, the needs for which clearly outweigh the loss.</w:t>
      </w:r>
      <w:r>
        <w:rPr>
          <w:b/>
          <w:color w:val="00B050"/>
          <w:sz w:val="24"/>
          <w:szCs w:val="24"/>
        </w:rPr>
        <w:t xml:space="preserve"> (See paragraph 6.31)</w:t>
      </w:r>
    </w:p>
    <w:p w14:paraId="58132DC6" w14:textId="77777777" w:rsidR="00A5030F" w:rsidRDefault="00A5030F" w:rsidP="00A5030F">
      <w:pPr>
        <w:spacing w:after="0" w:line="276" w:lineRule="auto"/>
        <w:jc w:val="both"/>
        <w:rPr>
          <w:b/>
          <w:color w:val="00B050"/>
          <w:sz w:val="24"/>
          <w:szCs w:val="24"/>
        </w:rPr>
      </w:pPr>
    </w:p>
    <w:p w14:paraId="72CFE150" w14:textId="77777777" w:rsidR="00A5030F" w:rsidRPr="000030A7" w:rsidRDefault="00A5030F" w:rsidP="00A5030F">
      <w:pPr>
        <w:spacing w:after="0" w:line="276" w:lineRule="auto"/>
        <w:jc w:val="both"/>
        <w:rPr>
          <w:b/>
          <w:color w:val="00B050"/>
          <w:sz w:val="24"/>
          <w:szCs w:val="24"/>
        </w:rPr>
      </w:pPr>
      <w:r w:rsidRPr="000030A7">
        <w:rPr>
          <w:b/>
          <w:color w:val="00B050"/>
          <w:sz w:val="24"/>
          <w:szCs w:val="24"/>
        </w:rPr>
        <w:t>SEA8 Local Green Spaces</w:t>
      </w:r>
    </w:p>
    <w:p w14:paraId="2C03B8D8" w14:textId="77777777" w:rsidR="00A5030F" w:rsidRPr="000030A7" w:rsidRDefault="00A5030F" w:rsidP="00A5030F">
      <w:pPr>
        <w:spacing w:after="0" w:line="276" w:lineRule="auto"/>
        <w:jc w:val="both"/>
        <w:rPr>
          <w:b/>
          <w:color w:val="00B050"/>
          <w:sz w:val="24"/>
          <w:szCs w:val="24"/>
        </w:rPr>
      </w:pPr>
    </w:p>
    <w:p w14:paraId="25D6F6D6" w14:textId="77777777" w:rsidR="00A5030F" w:rsidRPr="000030A7" w:rsidRDefault="00A5030F" w:rsidP="00A5030F">
      <w:pPr>
        <w:spacing w:after="0" w:line="276" w:lineRule="auto"/>
        <w:jc w:val="both"/>
        <w:rPr>
          <w:b/>
          <w:color w:val="00B050"/>
          <w:sz w:val="24"/>
          <w:szCs w:val="24"/>
        </w:rPr>
      </w:pPr>
      <w:r w:rsidRPr="000030A7">
        <w:rPr>
          <w:b/>
          <w:color w:val="00B050"/>
          <w:sz w:val="24"/>
          <w:szCs w:val="24"/>
        </w:rPr>
        <w:t>The Neighbourhood Plan designates the following loca</w:t>
      </w:r>
      <w:r>
        <w:rPr>
          <w:b/>
          <w:color w:val="00B050"/>
          <w:sz w:val="24"/>
          <w:szCs w:val="24"/>
        </w:rPr>
        <w:t xml:space="preserve">tions as Local Green Spaces, </w:t>
      </w:r>
      <w:r w:rsidRPr="000330CB">
        <w:rPr>
          <w:b/>
          <w:color w:val="00B050"/>
          <w:sz w:val="24"/>
          <w:szCs w:val="24"/>
        </w:rPr>
        <w:t xml:space="preserve">as shown on </w:t>
      </w:r>
      <w:r w:rsidRPr="00390606">
        <w:rPr>
          <w:b/>
          <w:color w:val="00B050"/>
          <w:sz w:val="24"/>
          <w:szCs w:val="24"/>
        </w:rPr>
        <w:t xml:space="preserve">Map </w:t>
      </w:r>
      <w:r>
        <w:rPr>
          <w:b/>
          <w:color w:val="00B050"/>
          <w:sz w:val="24"/>
          <w:szCs w:val="24"/>
        </w:rPr>
        <w:t>7</w:t>
      </w:r>
      <w:r w:rsidRPr="000330CB">
        <w:rPr>
          <w:b/>
          <w:color w:val="00B050"/>
          <w:sz w:val="24"/>
          <w:szCs w:val="24"/>
        </w:rPr>
        <w:t xml:space="preserve"> and the following plans</w:t>
      </w:r>
      <w:r>
        <w:rPr>
          <w:b/>
          <w:color w:val="00B050"/>
          <w:sz w:val="24"/>
          <w:szCs w:val="24"/>
        </w:rPr>
        <w:t xml:space="preserve"> (Maps 7A </w:t>
      </w:r>
      <w:proofErr w:type="spellStart"/>
      <w:r>
        <w:rPr>
          <w:b/>
          <w:color w:val="00B050"/>
          <w:sz w:val="24"/>
          <w:szCs w:val="24"/>
        </w:rPr>
        <w:t>i</w:t>
      </w:r>
      <w:proofErr w:type="spellEnd"/>
      <w:r>
        <w:rPr>
          <w:b/>
          <w:color w:val="00B050"/>
          <w:sz w:val="24"/>
          <w:szCs w:val="24"/>
        </w:rPr>
        <w:t xml:space="preserve"> – 7A ix)</w:t>
      </w:r>
      <w:r w:rsidRPr="000330CB">
        <w:rPr>
          <w:b/>
          <w:color w:val="00B050"/>
          <w:sz w:val="24"/>
          <w:szCs w:val="24"/>
        </w:rPr>
        <w:t>:</w:t>
      </w:r>
    </w:p>
    <w:p w14:paraId="42C82458" w14:textId="77777777" w:rsidR="00A5030F" w:rsidRPr="000030A7" w:rsidRDefault="00A5030F" w:rsidP="00A5030F">
      <w:pPr>
        <w:spacing w:after="0" w:line="276" w:lineRule="auto"/>
        <w:jc w:val="both"/>
        <w:rPr>
          <w:b/>
          <w:color w:val="00B050"/>
          <w:sz w:val="24"/>
          <w:szCs w:val="24"/>
        </w:rPr>
      </w:pPr>
      <w:r w:rsidRPr="000030A7">
        <w:rPr>
          <w:b/>
          <w:color w:val="00B050"/>
          <w:sz w:val="24"/>
          <w:szCs w:val="24"/>
        </w:rPr>
        <w:t xml:space="preserve">1          </w:t>
      </w:r>
      <w:proofErr w:type="spellStart"/>
      <w:r w:rsidRPr="000030A7">
        <w:rPr>
          <w:b/>
          <w:color w:val="00B050"/>
          <w:sz w:val="24"/>
          <w:szCs w:val="24"/>
        </w:rPr>
        <w:t>Bishopstone</w:t>
      </w:r>
      <w:proofErr w:type="spellEnd"/>
      <w:r w:rsidRPr="000030A7">
        <w:rPr>
          <w:b/>
          <w:color w:val="00B050"/>
          <w:sz w:val="24"/>
          <w:szCs w:val="24"/>
        </w:rPr>
        <w:t xml:space="preserve"> Village Green</w:t>
      </w:r>
      <w:r w:rsidRPr="000030A7">
        <w:rPr>
          <w:b/>
          <w:color w:val="00B050"/>
          <w:sz w:val="24"/>
          <w:szCs w:val="24"/>
        </w:rPr>
        <w:tab/>
      </w:r>
    </w:p>
    <w:p w14:paraId="13270B14" w14:textId="77777777" w:rsidR="00A5030F" w:rsidRPr="000030A7" w:rsidRDefault="00A5030F" w:rsidP="00A5030F">
      <w:pPr>
        <w:spacing w:after="0" w:line="276" w:lineRule="auto"/>
        <w:jc w:val="both"/>
        <w:rPr>
          <w:b/>
          <w:color w:val="00B050"/>
          <w:sz w:val="24"/>
          <w:szCs w:val="24"/>
        </w:rPr>
      </w:pPr>
      <w:r w:rsidRPr="000030A7">
        <w:rPr>
          <w:b/>
          <w:color w:val="00B050"/>
          <w:sz w:val="24"/>
          <w:szCs w:val="24"/>
        </w:rPr>
        <w:t>2          Blatchington Pond</w:t>
      </w:r>
      <w:r>
        <w:rPr>
          <w:b/>
          <w:color w:val="00B050"/>
          <w:sz w:val="24"/>
          <w:szCs w:val="24"/>
        </w:rPr>
        <w:t xml:space="preserve"> </w:t>
      </w:r>
    </w:p>
    <w:p w14:paraId="5BE0C033" w14:textId="77777777" w:rsidR="00A5030F" w:rsidRPr="000030A7" w:rsidRDefault="00A5030F" w:rsidP="00A5030F">
      <w:pPr>
        <w:spacing w:after="0" w:line="276" w:lineRule="auto"/>
        <w:jc w:val="both"/>
        <w:rPr>
          <w:b/>
          <w:color w:val="00B050"/>
          <w:sz w:val="24"/>
          <w:szCs w:val="24"/>
        </w:rPr>
      </w:pPr>
      <w:r w:rsidRPr="000030A7">
        <w:rPr>
          <w:b/>
          <w:color w:val="00B050"/>
          <w:sz w:val="24"/>
          <w:szCs w:val="24"/>
        </w:rPr>
        <w:t>3          Foster Close Open Space</w:t>
      </w:r>
      <w:r>
        <w:rPr>
          <w:b/>
          <w:color w:val="00B050"/>
          <w:sz w:val="24"/>
          <w:szCs w:val="24"/>
        </w:rPr>
        <w:t xml:space="preserve"> </w:t>
      </w:r>
    </w:p>
    <w:p w14:paraId="583A5EBC" w14:textId="77777777" w:rsidR="00A5030F" w:rsidRPr="000030A7" w:rsidRDefault="00A5030F" w:rsidP="00A5030F">
      <w:pPr>
        <w:spacing w:after="0" w:line="276" w:lineRule="auto"/>
        <w:jc w:val="both"/>
        <w:rPr>
          <w:b/>
          <w:color w:val="00B050"/>
          <w:sz w:val="24"/>
          <w:szCs w:val="24"/>
        </w:rPr>
      </w:pPr>
      <w:r>
        <w:rPr>
          <w:b/>
          <w:color w:val="00B050"/>
          <w:sz w:val="24"/>
          <w:szCs w:val="24"/>
        </w:rPr>
        <w:t>4</w:t>
      </w:r>
      <w:r w:rsidRPr="000030A7">
        <w:rPr>
          <w:b/>
          <w:color w:val="00B050"/>
          <w:sz w:val="24"/>
          <w:szCs w:val="24"/>
        </w:rPr>
        <w:t xml:space="preserve">          </w:t>
      </w:r>
      <w:proofErr w:type="spellStart"/>
      <w:r w:rsidRPr="000030A7">
        <w:rPr>
          <w:b/>
          <w:color w:val="00B050"/>
          <w:sz w:val="24"/>
          <w:szCs w:val="24"/>
        </w:rPr>
        <w:t>Normansal</w:t>
      </w:r>
      <w:proofErr w:type="spellEnd"/>
      <w:r w:rsidRPr="000030A7">
        <w:rPr>
          <w:b/>
          <w:color w:val="00B050"/>
          <w:sz w:val="24"/>
          <w:szCs w:val="24"/>
        </w:rPr>
        <w:t xml:space="preserve"> Park/ </w:t>
      </w:r>
      <w:proofErr w:type="spellStart"/>
      <w:r w:rsidRPr="000030A7">
        <w:rPr>
          <w:b/>
          <w:color w:val="00B050"/>
          <w:sz w:val="24"/>
          <w:szCs w:val="24"/>
        </w:rPr>
        <w:t>Chalvington</w:t>
      </w:r>
      <w:proofErr w:type="spellEnd"/>
      <w:r w:rsidRPr="000030A7">
        <w:rPr>
          <w:b/>
          <w:color w:val="00B050"/>
          <w:sz w:val="24"/>
          <w:szCs w:val="24"/>
        </w:rPr>
        <w:t xml:space="preserve"> Fields not in the National Park</w:t>
      </w:r>
      <w:r>
        <w:rPr>
          <w:b/>
          <w:color w:val="00B050"/>
          <w:sz w:val="24"/>
          <w:szCs w:val="24"/>
        </w:rPr>
        <w:t xml:space="preserve"> </w:t>
      </w:r>
    </w:p>
    <w:p w14:paraId="525135F3" w14:textId="77777777" w:rsidR="00A5030F" w:rsidRPr="000030A7" w:rsidRDefault="00A5030F" w:rsidP="00A5030F">
      <w:pPr>
        <w:spacing w:after="0" w:line="276" w:lineRule="auto"/>
        <w:jc w:val="both"/>
        <w:rPr>
          <w:b/>
          <w:color w:val="00B050"/>
          <w:sz w:val="24"/>
          <w:szCs w:val="24"/>
        </w:rPr>
      </w:pPr>
      <w:r>
        <w:rPr>
          <w:b/>
          <w:color w:val="00B050"/>
          <w:sz w:val="24"/>
          <w:szCs w:val="24"/>
        </w:rPr>
        <w:t>5</w:t>
      </w:r>
      <w:r w:rsidRPr="000030A7">
        <w:rPr>
          <w:b/>
          <w:color w:val="00B050"/>
          <w:sz w:val="24"/>
          <w:szCs w:val="24"/>
        </w:rPr>
        <w:t xml:space="preserve">          Princess Drive Green and old Grand Avenue Bridleway</w:t>
      </w:r>
      <w:r>
        <w:rPr>
          <w:b/>
          <w:color w:val="00B050"/>
          <w:sz w:val="24"/>
          <w:szCs w:val="24"/>
        </w:rPr>
        <w:t xml:space="preserve"> </w:t>
      </w:r>
    </w:p>
    <w:p w14:paraId="108F9B73" w14:textId="77777777" w:rsidR="00A5030F" w:rsidRPr="000030A7" w:rsidRDefault="00A5030F" w:rsidP="00A5030F">
      <w:pPr>
        <w:spacing w:after="0" w:line="276" w:lineRule="auto"/>
        <w:jc w:val="both"/>
        <w:rPr>
          <w:b/>
          <w:color w:val="00B050"/>
          <w:sz w:val="24"/>
          <w:szCs w:val="24"/>
        </w:rPr>
      </w:pPr>
      <w:r>
        <w:rPr>
          <w:b/>
          <w:color w:val="00B050"/>
          <w:sz w:val="24"/>
          <w:szCs w:val="24"/>
        </w:rPr>
        <w:t>6</w:t>
      </w:r>
      <w:r w:rsidRPr="000030A7">
        <w:rPr>
          <w:b/>
          <w:color w:val="00B050"/>
          <w:sz w:val="24"/>
          <w:szCs w:val="24"/>
        </w:rPr>
        <w:t xml:space="preserve">          The Crouch</w:t>
      </w:r>
      <w:r>
        <w:rPr>
          <w:b/>
          <w:color w:val="00B050"/>
          <w:sz w:val="24"/>
          <w:szCs w:val="24"/>
        </w:rPr>
        <w:t xml:space="preserve"> </w:t>
      </w:r>
    </w:p>
    <w:p w14:paraId="704B3B07" w14:textId="77777777" w:rsidR="00A5030F" w:rsidRPr="000030A7" w:rsidRDefault="00A5030F" w:rsidP="00A5030F">
      <w:pPr>
        <w:spacing w:after="0" w:line="276" w:lineRule="auto"/>
        <w:jc w:val="both"/>
        <w:rPr>
          <w:b/>
          <w:color w:val="00B050"/>
          <w:sz w:val="24"/>
          <w:szCs w:val="24"/>
        </w:rPr>
      </w:pPr>
      <w:r>
        <w:rPr>
          <w:b/>
          <w:color w:val="00B050"/>
          <w:sz w:val="24"/>
          <w:szCs w:val="24"/>
        </w:rPr>
        <w:t>7</w:t>
      </w:r>
      <w:r w:rsidRPr="000030A7">
        <w:rPr>
          <w:b/>
          <w:color w:val="00B050"/>
          <w:sz w:val="24"/>
          <w:szCs w:val="24"/>
        </w:rPr>
        <w:t xml:space="preserve">          The Old Brickfield and site adjacent to 47 Surrey Road</w:t>
      </w:r>
    </w:p>
    <w:p w14:paraId="11247AD9" w14:textId="77777777" w:rsidR="00A5030F" w:rsidRPr="000030A7" w:rsidRDefault="00A5030F" w:rsidP="00A5030F">
      <w:pPr>
        <w:spacing w:after="0" w:line="276" w:lineRule="auto"/>
        <w:jc w:val="both"/>
        <w:rPr>
          <w:b/>
          <w:color w:val="00B050"/>
          <w:sz w:val="24"/>
          <w:szCs w:val="24"/>
        </w:rPr>
      </w:pPr>
      <w:r>
        <w:rPr>
          <w:b/>
          <w:color w:val="00B050"/>
          <w:sz w:val="24"/>
          <w:szCs w:val="24"/>
        </w:rPr>
        <w:t>8</w:t>
      </w:r>
      <w:r w:rsidRPr="000030A7">
        <w:rPr>
          <w:b/>
          <w:color w:val="00B050"/>
          <w:sz w:val="24"/>
          <w:szCs w:val="24"/>
        </w:rPr>
        <w:t xml:space="preserve">    </w:t>
      </w:r>
      <w:r>
        <w:rPr>
          <w:b/>
          <w:color w:val="00B050"/>
          <w:sz w:val="24"/>
          <w:szCs w:val="24"/>
        </w:rPr>
        <w:t xml:space="preserve">      The Ridings (</w:t>
      </w:r>
      <w:proofErr w:type="spellStart"/>
      <w:r>
        <w:rPr>
          <w:b/>
          <w:color w:val="00B050"/>
          <w:sz w:val="24"/>
          <w:szCs w:val="24"/>
        </w:rPr>
        <w:t>Lexden</w:t>
      </w:r>
      <w:proofErr w:type="spellEnd"/>
      <w:r>
        <w:rPr>
          <w:b/>
          <w:color w:val="00B050"/>
          <w:sz w:val="24"/>
          <w:szCs w:val="24"/>
        </w:rPr>
        <w:t xml:space="preserve"> Road)</w:t>
      </w:r>
    </w:p>
    <w:p w14:paraId="3F89A1B0" w14:textId="77777777" w:rsidR="00A5030F" w:rsidRPr="000030A7" w:rsidRDefault="00A5030F" w:rsidP="00A5030F">
      <w:pPr>
        <w:spacing w:after="0" w:line="276" w:lineRule="auto"/>
        <w:jc w:val="both"/>
        <w:rPr>
          <w:b/>
          <w:color w:val="00B050"/>
          <w:sz w:val="24"/>
          <w:szCs w:val="24"/>
        </w:rPr>
      </w:pPr>
      <w:r>
        <w:rPr>
          <w:b/>
          <w:color w:val="00B050"/>
          <w:sz w:val="24"/>
          <w:szCs w:val="24"/>
        </w:rPr>
        <w:t>9</w:t>
      </w:r>
      <w:r w:rsidRPr="000030A7">
        <w:rPr>
          <w:b/>
          <w:color w:val="00B050"/>
          <w:sz w:val="24"/>
          <w:szCs w:val="24"/>
        </w:rPr>
        <w:t xml:space="preserve">        </w:t>
      </w:r>
      <w:r>
        <w:rPr>
          <w:b/>
          <w:color w:val="00B050"/>
          <w:sz w:val="24"/>
          <w:szCs w:val="24"/>
        </w:rPr>
        <w:t xml:space="preserve">  </w:t>
      </w:r>
      <w:r w:rsidRPr="000030A7">
        <w:rPr>
          <w:b/>
          <w:color w:val="00B050"/>
          <w:sz w:val="24"/>
          <w:szCs w:val="24"/>
        </w:rPr>
        <w:t xml:space="preserve">Land north of </w:t>
      </w:r>
      <w:proofErr w:type="spellStart"/>
      <w:r w:rsidRPr="000030A7">
        <w:rPr>
          <w:b/>
          <w:color w:val="00B050"/>
          <w:sz w:val="24"/>
          <w:szCs w:val="24"/>
        </w:rPr>
        <w:t>Alfriston</w:t>
      </w:r>
      <w:proofErr w:type="spellEnd"/>
      <w:r w:rsidRPr="000030A7">
        <w:rPr>
          <w:b/>
          <w:color w:val="00B050"/>
          <w:sz w:val="24"/>
          <w:szCs w:val="24"/>
        </w:rPr>
        <w:t xml:space="preserve"> Road (4 plots)</w:t>
      </w:r>
    </w:p>
    <w:p w14:paraId="1E0CA206" w14:textId="77777777" w:rsidR="00A5030F" w:rsidRPr="000030A7" w:rsidRDefault="00A5030F" w:rsidP="00A5030F">
      <w:pPr>
        <w:spacing w:after="0" w:line="276" w:lineRule="auto"/>
        <w:jc w:val="both"/>
        <w:rPr>
          <w:b/>
          <w:color w:val="00B050"/>
          <w:sz w:val="24"/>
          <w:szCs w:val="24"/>
        </w:rPr>
      </w:pPr>
    </w:p>
    <w:p w14:paraId="65B085C9" w14:textId="77777777" w:rsidR="00A5030F" w:rsidRDefault="00A5030F" w:rsidP="00A5030F">
      <w:pPr>
        <w:spacing w:after="0" w:line="276" w:lineRule="auto"/>
        <w:jc w:val="both"/>
        <w:rPr>
          <w:b/>
          <w:color w:val="00B050"/>
          <w:sz w:val="24"/>
          <w:szCs w:val="24"/>
        </w:rPr>
      </w:pPr>
      <w:r w:rsidRPr="000330CB">
        <w:rPr>
          <w:b/>
          <w:color w:val="00B050"/>
          <w:sz w:val="24"/>
          <w:szCs w:val="24"/>
        </w:rPr>
        <w:t>The management of development within areas of Local Green Space will be consistent with that for development within Green Belts.</w:t>
      </w:r>
      <w:r>
        <w:rPr>
          <w:b/>
          <w:color w:val="00B050"/>
          <w:sz w:val="24"/>
          <w:szCs w:val="24"/>
        </w:rPr>
        <w:t xml:space="preserve"> (See paragraph 6.38)</w:t>
      </w:r>
    </w:p>
    <w:p w14:paraId="40096668" w14:textId="77777777" w:rsidR="00A5030F" w:rsidRDefault="00A5030F" w:rsidP="00A5030F">
      <w:pPr>
        <w:spacing w:after="0" w:line="276" w:lineRule="auto"/>
        <w:jc w:val="both"/>
        <w:rPr>
          <w:b/>
          <w:color w:val="00B050"/>
          <w:sz w:val="24"/>
          <w:szCs w:val="24"/>
        </w:rPr>
      </w:pPr>
    </w:p>
    <w:p w14:paraId="43AA7D52" w14:textId="77777777" w:rsidR="00A5030F" w:rsidRPr="000030A7" w:rsidRDefault="00A5030F" w:rsidP="00A5030F">
      <w:pPr>
        <w:spacing w:after="0" w:line="276" w:lineRule="auto"/>
        <w:jc w:val="both"/>
        <w:outlineLvl w:val="0"/>
        <w:rPr>
          <w:b/>
          <w:color w:val="00B050"/>
          <w:sz w:val="24"/>
          <w:szCs w:val="24"/>
        </w:rPr>
      </w:pPr>
      <w:r w:rsidRPr="000030A7">
        <w:rPr>
          <w:b/>
          <w:color w:val="00B050"/>
          <w:sz w:val="24"/>
          <w:szCs w:val="24"/>
        </w:rPr>
        <w:t>SEA9 Allotments</w:t>
      </w:r>
    </w:p>
    <w:p w14:paraId="7E968EF3" w14:textId="77777777" w:rsidR="00A5030F" w:rsidRPr="000030A7" w:rsidRDefault="00A5030F" w:rsidP="00A5030F">
      <w:pPr>
        <w:spacing w:after="0" w:line="276" w:lineRule="auto"/>
        <w:jc w:val="both"/>
        <w:outlineLvl w:val="0"/>
        <w:rPr>
          <w:b/>
          <w:color w:val="00B050"/>
          <w:sz w:val="24"/>
          <w:szCs w:val="24"/>
        </w:rPr>
      </w:pPr>
    </w:p>
    <w:p w14:paraId="70F6EA26" w14:textId="77777777" w:rsidR="00A5030F" w:rsidRPr="000030A7" w:rsidRDefault="00A5030F" w:rsidP="00A5030F">
      <w:pPr>
        <w:spacing w:after="0" w:line="276" w:lineRule="auto"/>
        <w:jc w:val="both"/>
        <w:outlineLvl w:val="0"/>
        <w:rPr>
          <w:b/>
          <w:color w:val="00B050"/>
          <w:sz w:val="24"/>
          <w:szCs w:val="24"/>
        </w:rPr>
      </w:pPr>
      <w:r w:rsidRPr="000030A7">
        <w:rPr>
          <w:b/>
          <w:color w:val="00B050"/>
          <w:sz w:val="24"/>
          <w:szCs w:val="24"/>
        </w:rPr>
        <w:t xml:space="preserve">Proposals resulting in the loss of allotments as shown </w:t>
      </w:r>
      <w:r w:rsidRPr="006A0DBF">
        <w:rPr>
          <w:b/>
          <w:color w:val="00B050"/>
          <w:sz w:val="24"/>
          <w:szCs w:val="24"/>
        </w:rPr>
        <w:t>on Map 8</w:t>
      </w:r>
      <w:r w:rsidRPr="000330CB">
        <w:rPr>
          <w:b/>
          <w:color w:val="00B050"/>
          <w:sz w:val="24"/>
          <w:szCs w:val="24"/>
        </w:rPr>
        <w:t xml:space="preserve"> will only be supported if it is demonstrated</w:t>
      </w:r>
      <w:r w:rsidRPr="000030A7">
        <w:rPr>
          <w:b/>
          <w:color w:val="00B050"/>
          <w:sz w:val="24"/>
          <w:szCs w:val="24"/>
        </w:rPr>
        <w:t xml:space="preserve">: </w:t>
      </w:r>
    </w:p>
    <w:p w14:paraId="4B81A6F8" w14:textId="77777777" w:rsidR="00A5030F" w:rsidRPr="000030A7" w:rsidRDefault="00A5030F" w:rsidP="00A5030F">
      <w:pPr>
        <w:pStyle w:val="ListParagraph"/>
        <w:numPr>
          <w:ilvl w:val="0"/>
          <w:numId w:val="4"/>
        </w:numPr>
        <w:spacing w:after="0" w:line="276" w:lineRule="auto"/>
        <w:ind w:left="357" w:hanging="357"/>
        <w:jc w:val="both"/>
        <w:outlineLvl w:val="0"/>
        <w:rPr>
          <w:b/>
          <w:color w:val="00B050"/>
          <w:sz w:val="24"/>
          <w:szCs w:val="24"/>
        </w:rPr>
      </w:pPr>
      <w:r w:rsidRPr="000030A7">
        <w:rPr>
          <w:b/>
          <w:color w:val="00B050"/>
          <w:sz w:val="24"/>
          <w:szCs w:val="24"/>
        </w:rPr>
        <w:t>Alternative allotment provision is made on a site of equivalent visual and horticultural value; or</w:t>
      </w:r>
    </w:p>
    <w:p w14:paraId="47EF58FA" w14:textId="77777777" w:rsidR="00A5030F" w:rsidRPr="000030A7" w:rsidRDefault="00A5030F" w:rsidP="00A5030F">
      <w:pPr>
        <w:pStyle w:val="ListParagraph"/>
        <w:numPr>
          <w:ilvl w:val="0"/>
          <w:numId w:val="4"/>
        </w:numPr>
        <w:spacing w:after="0" w:line="276" w:lineRule="auto"/>
        <w:ind w:left="357" w:hanging="357"/>
        <w:jc w:val="both"/>
        <w:outlineLvl w:val="0"/>
        <w:rPr>
          <w:b/>
          <w:color w:val="00B050"/>
          <w:sz w:val="24"/>
          <w:szCs w:val="24"/>
        </w:rPr>
      </w:pPr>
      <w:r w:rsidRPr="000030A7">
        <w:rPr>
          <w:b/>
          <w:color w:val="00B050"/>
          <w:sz w:val="24"/>
          <w:szCs w:val="24"/>
        </w:rPr>
        <w:t>there is no need or demand for the allotments and that this is unlikely to change in the foreseeable future; and</w:t>
      </w:r>
    </w:p>
    <w:p w14:paraId="44354357" w14:textId="77777777" w:rsidR="00A5030F" w:rsidRDefault="00A5030F" w:rsidP="00A5030F">
      <w:pPr>
        <w:pStyle w:val="ListParagraph"/>
        <w:numPr>
          <w:ilvl w:val="0"/>
          <w:numId w:val="4"/>
        </w:numPr>
        <w:spacing w:after="0" w:line="276" w:lineRule="auto"/>
        <w:ind w:left="357" w:hanging="357"/>
        <w:jc w:val="both"/>
        <w:outlineLvl w:val="0"/>
        <w:rPr>
          <w:b/>
          <w:color w:val="00B050"/>
          <w:sz w:val="24"/>
          <w:szCs w:val="24"/>
        </w:rPr>
      </w:pPr>
      <w:r w:rsidRPr="000030A7">
        <w:rPr>
          <w:b/>
          <w:color w:val="00B050"/>
          <w:sz w:val="24"/>
          <w:szCs w:val="24"/>
        </w:rPr>
        <w:t>there is no net loss of biodiversity.</w:t>
      </w:r>
      <w:r>
        <w:rPr>
          <w:b/>
          <w:color w:val="00B050"/>
          <w:sz w:val="24"/>
          <w:szCs w:val="24"/>
        </w:rPr>
        <w:t xml:space="preserve"> (See paragraph 6.34)</w:t>
      </w:r>
    </w:p>
    <w:p w14:paraId="4A653640" w14:textId="77777777" w:rsidR="00A5030F" w:rsidRDefault="00A5030F" w:rsidP="00A5030F">
      <w:pPr>
        <w:spacing w:after="0" w:line="276" w:lineRule="auto"/>
        <w:jc w:val="both"/>
        <w:outlineLvl w:val="0"/>
        <w:rPr>
          <w:b/>
          <w:color w:val="00B050"/>
          <w:sz w:val="24"/>
          <w:szCs w:val="24"/>
        </w:rPr>
      </w:pPr>
    </w:p>
    <w:p w14:paraId="27DF0054" w14:textId="77777777" w:rsidR="00BC6090" w:rsidRDefault="00BC6090" w:rsidP="00A5030F">
      <w:pPr>
        <w:spacing w:after="0" w:line="276" w:lineRule="auto"/>
        <w:jc w:val="both"/>
        <w:outlineLvl w:val="0"/>
        <w:rPr>
          <w:b/>
          <w:color w:val="00B050"/>
          <w:sz w:val="24"/>
          <w:szCs w:val="24"/>
        </w:rPr>
      </w:pPr>
    </w:p>
    <w:p w14:paraId="311C7081" w14:textId="77777777" w:rsidR="00BC6090" w:rsidRDefault="00BC6090" w:rsidP="00A5030F">
      <w:pPr>
        <w:spacing w:after="0" w:line="276" w:lineRule="auto"/>
        <w:jc w:val="both"/>
        <w:outlineLvl w:val="0"/>
        <w:rPr>
          <w:b/>
          <w:color w:val="00B050"/>
          <w:sz w:val="24"/>
          <w:szCs w:val="24"/>
        </w:rPr>
      </w:pPr>
    </w:p>
    <w:p w14:paraId="2B14E479" w14:textId="77777777" w:rsidR="00BC6090" w:rsidRDefault="00BC6090" w:rsidP="00A5030F">
      <w:pPr>
        <w:spacing w:after="0" w:line="276" w:lineRule="auto"/>
        <w:jc w:val="both"/>
        <w:outlineLvl w:val="0"/>
        <w:rPr>
          <w:b/>
          <w:color w:val="00B050"/>
          <w:sz w:val="24"/>
          <w:szCs w:val="24"/>
        </w:rPr>
      </w:pPr>
    </w:p>
    <w:p w14:paraId="5B8DC71A" w14:textId="77777777" w:rsidR="00A5030F" w:rsidRPr="000030A7" w:rsidRDefault="00A5030F" w:rsidP="00A5030F">
      <w:pPr>
        <w:spacing w:after="0" w:line="276" w:lineRule="auto"/>
        <w:jc w:val="both"/>
        <w:outlineLvl w:val="0"/>
        <w:rPr>
          <w:b/>
          <w:color w:val="00B050"/>
          <w:sz w:val="24"/>
          <w:szCs w:val="24"/>
        </w:rPr>
      </w:pPr>
      <w:r>
        <w:rPr>
          <w:b/>
          <w:color w:val="00B050"/>
          <w:sz w:val="24"/>
          <w:szCs w:val="24"/>
        </w:rPr>
        <w:lastRenderedPageBreak/>
        <w:t>SEA10</w:t>
      </w:r>
      <w:r w:rsidRPr="000030A7">
        <w:rPr>
          <w:b/>
          <w:color w:val="00B050"/>
          <w:sz w:val="24"/>
          <w:szCs w:val="24"/>
        </w:rPr>
        <w:t xml:space="preserve"> New Business Space at Cradle Hill</w:t>
      </w:r>
    </w:p>
    <w:p w14:paraId="691C25C8" w14:textId="77777777" w:rsidR="00A5030F" w:rsidRPr="000030A7" w:rsidRDefault="00A5030F" w:rsidP="00A5030F">
      <w:pPr>
        <w:spacing w:after="0" w:line="276" w:lineRule="auto"/>
        <w:jc w:val="both"/>
        <w:outlineLvl w:val="0"/>
        <w:rPr>
          <w:b/>
          <w:color w:val="00B050"/>
          <w:sz w:val="24"/>
          <w:szCs w:val="24"/>
        </w:rPr>
      </w:pPr>
    </w:p>
    <w:p w14:paraId="77E254BA" w14:textId="77777777" w:rsidR="00A5030F" w:rsidRPr="000030A7" w:rsidRDefault="00A5030F" w:rsidP="00A5030F">
      <w:pPr>
        <w:spacing w:after="0" w:line="276" w:lineRule="auto"/>
        <w:jc w:val="both"/>
        <w:outlineLvl w:val="0"/>
        <w:rPr>
          <w:b/>
          <w:color w:val="00B050"/>
          <w:sz w:val="24"/>
          <w:szCs w:val="24"/>
        </w:rPr>
      </w:pPr>
      <w:r w:rsidRPr="000030A7">
        <w:rPr>
          <w:b/>
          <w:color w:val="00B050"/>
          <w:sz w:val="24"/>
          <w:szCs w:val="24"/>
        </w:rPr>
        <w:t xml:space="preserve">Land at Cradle Hill Industrial Estate, as shown hatched blue on </w:t>
      </w:r>
      <w:r w:rsidRPr="00D04B56">
        <w:rPr>
          <w:b/>
          <w:color w:val="00B050"/>
          <w:sz w:val="24"/>
          <w:szCs w:val="24"/>
        </w:rPr>
        <w:t>Map</w:t>
      </w:r>
      <w:r>
        <w:rPr>
          <w:b/>
          <w:color w:val="00B050"/>
          <w:sz w:val="24"/>
          <w:szCs w:val="24"/>
        </w:rPr>
        <w:t xml:space="preserve"> 9</w:t>
      </w:r>
      <w:r w:rsidRPr="000030A7">
        <w:rPr>
          <w:b/>
          <w:color w:val="00B050"/>
          <w:sz w:val="24"/>
          <w:szCs w:val="24"/>
        </w:rPr>
        <w:t xml:space="preserve">, is allocated for business development (Use Classes B1, B2 and B8), </w:t>
      </w:r>
      <w:r w:rsidRPr="000330CB">
        <w:rPr>
          <w:b/>
          <w:color w:val="00B050"/>
          <w:sz w:val="24"/>
          <w:szCs w:val="24"/>
        </w:rPr>
        <w:t>su</w:t>
      </w:r>
      <w:r>
        <w:rPr>
          <w:b/>
          <w:color w:val="00B050"/>
          <w:sz w:val="24"/>
          <w:szCs w:val="24"/>
        </w:rPr>
        <w:t>bject to the following criteria</w:t>
      </w:r>
      <w:r w:rsidRPr="000030A7">
        <w:rPr>
          <w:b/>
          <w:color w:val="00B050"/>
          <w:sz w:val="24"/>
          <w:szCs w:val="24"/>
        </w:rPr>
        <w:t>:</w:t>
      </w:r>
    </w:p>
    <w:p w14:paraId="40D95310" w14:textId="77777777" w:rsidR="00A5030F" w:rsidRPr="000030A7" w:rsidRDefault="00A5030F" w:rsidP="00A5030F">
      <w:pPr>
        <w:pStyle w:val="ListParagraph"/>
        <w:numPr>
          <w:ilvl w:val="0"/>
          <w:numId w:val="5"/>
        </w:numPr>
        <w:spacing w:after="0" w:line="276" w:lineRule="auto"/>
        <w:ind w:left="357" w:hanging="357"/>
        <w:jc w:val="both"/>
        <w:outlineLvl w:val="0"/>
        <w:rPr>
          <w:b/>
          <w:color w:val="00B050"/>
          <w:sz w:val="24"/>
          <w:szCs w:val="24"/>
        </w:rPr>
      </w:pPr>
      <w:r w:rsidRPr="000030A7">
        <w:rPr>
          <w:b/>
          <w:color w:val="00B050"/>
          <w:sz w:val="24"/>
          <w:szCs w:val="24"/>
        </w:rPr>
        <w:t>the height of the development shall be no higher than the existing buildings</w:t>
      </w:r>
    </w:p>
    <w:p w14:paraId="6C547170" w14:textId="77777777" w:rsidR="00A5030F" w:rsidRDefault="00A5030F" w:rsidP="00A5030F">
      <w:pPr>
        <w:pStyle w:val="ListParagraph"/>
        <w:numPr>
          <w:ilvl w:val="0"/>
          <w:numId w:val="5"/>
        </w:numPr>
        <w:spacing w:after="0" w:line="276" w:lineRule="auto"/>
        <w:ind w:left="357" w:hanging="357"/>
        <w:jc w:val="both"/>
        <w:outlineLvl w:val="0"/>
        <w:rPr>
          <w:b/>
          <w:color w:val="00B050"/>
          <w:sz w:val="24"/>
          <w:szCs w:val="24"/>
        </w:rPr>
      </w:pPr>
      <w:r w:rsidRPr="000330CB">
        <w:rPr>
          <w:b/>
          <w:color w:val="00B050"/>
          <w:sz w:val="24"/>
          <w:szCs w:val="24"/>
        </w:rPr>
        <w:t>the eastern boundary of the Cradle Hill Estate extension shall be clearly demarcated with a substantial landscaped buffer of varying width</w:t>
      </w:r>
      <w:r>
        <w:rPr>
          <w:b/>
          <w:color w:val="00B050"/>
          <w:sz w:val="24"/>
          <w:szCs w:val="24"/>
        </w:rPr>
        <w:t>, but no less than four metres.</w:t>
      </w:r>
    </w:p>
    <w:p w14:paraId="7E90D3B7" w14:textId="77777777" w:rsidR="00A5030F" w:rsidRDefault="00A5030F" w:rsidP="00A5030F">
      <w:pPr>
        <w:pStyle w:val="ListParagraph"/>
        <w:numPr>
          <w:ilvl w:val="0"/>
          <w:numId w:val="5"/>
        </w:numPr>
        <w:spacing w:after="0" w:line="276" w:lineRule="auto"/>
        <w:ind w:left="357" w:hanging="357"/>
        <w:jc w:val="both"/>
        <w:outlineLvl w:val="0"/>
        <w:rPr>
          <w:b/>
          <w:color w:val="00B050"/>
          <w:sz w:val="24"/>
          <w:szCs w:val="24"/>
        </w:rPr>
      </w:pPr>
      <w:r>
        <w:rPr>
          <w:b/>
          <w:color w:val="00B050"/>
          <w:sz w:val="24"/>
          <w:szCs w:val="24"/>
        </w:rPr>
        <w:t>Development should be designed to minimise visual impacts on the South Downs National Park</w:t>
      </w:r>
    </w:p>
    <w:p w14:paraId="15170167" w14:textId="77777777" w:rsidR="00A5030F" w:rsidRPr="00A5030F" w:rsidRDefault="00A5030F" w:rsidP="00A5030F">
      <w:pPr>
        <w:pStyle w:val="ListParagraph"/>
        <w:numPr>
          <w:ilvl w:val="0"/>
          <w:numId w:val="5"/>
        </w:numPr>
        <w:spacing w:after="0" w:line="276" w:lineRule="auto"/>
        <w:ind w:left="357" w:hanging="357"/>
        <w:jc w:val="both"/>
        <w:outlineLvl w:val="0"/>
        <w:rPr>
          <w:b/>
          <w:color w:val="00B050"/>
          <w:sz w:val="24"/>
          <w:szCs w:val="24"/>
        </w:rPr>
      </w:pPr>
      <w:r>
        <w:rPr>
          <w:b/>
          <w:color w:val="00B050"/>
          <w:sz w:val="24"/>
          <w:szCs w:val="24"/>
        </w:rPr>
        <w:t>Development must not harm highway safety and should provide for safe access.</w:t>
      </w:r>
    </w:p>
    <w:p w14:paraId="2E9D91E1" w14:textId="77777777" w:rsidR="00A5030F" w:rsidRDefault="00A5030F" w:rsidP="00A5030F">
      <w:pPr>
        <w:spacing w:after="0" w:line="276" w:lineRule="auto"/>
        <w:jc w:val="both"/>
        <w:outlineLvl w:val="0"/>
        <w:rPr>
          <w:b/>
          <w:color w:val="00B050"/>
          <w:sz w:val="24"/>
          <w:szCs w:val="24"/>
        </w:rPr>
      </w:pPr>
      <w:r>
        <w:rPr>
          <w:b/>
          <w:color w:val="00B050"/>
          <w:sz w:val="24"/>
          <w:szCs w:val="24"/>
        </w:rPr>
        <w:t>(See paragraph 6.40)</w:t>
      </w:r>
    </w:p>
    <w:p w14:paraId="6DF226D3" w14:textId="77777777" w:rsidR="00A5030F" w:rsidRDefault="00A5030F" w:rsidP="00A5030F">
      <w:pPr>
        <w:spacing w:after="0" w:line="276" w:lineRule="auto"/>
        <w:jc w:val="both"/>
        <w:outlineLvl w:val="0"/>
        <w:rPr>
          <w:b/>
          <w:color w:val="00B050"/>
          <w:sz w:val="24"/>
          <w:szCs w:val="24"/>
        </w:rPr>
      </w:pPr>
    </w:p>
    <w:p w14:paraId="7DC84E6E" w14:textId="77777777" w:rsidR="00A5030F" w:rsidRPr="000030A7" w:rsidRDefault="00A5030F" w:rsidP="00A5030F">
      <w:pPr>
        <w:pStyle w:val="CommentText"/>
        <w:spacing w:after="0" w:line="276" w:lineRule="auto"/>
        <w:ind w:left="720" w:hanging="720"/>
        <w:jc w:val="both"/>
        <w:rPr>
          <w:b/>
          <w:color w:val="00B050"/>
          <w:sz w:val="24"/>
          <w:szCs w:val="24"/>
        </w:rPr>
      </w:pPr>
      <w:r>
        <w:rPr>
          <w:b/>
          <w:color w:val="00B050"/>
          <w:sz w:val="24"/>
          <w:szCs w:val="24"/>
        </w:rPr>
        <w:t>SEA11</w:t>
      </w:r>
      <w:r w:rsidRPr="000030A7">
        <w:rPr>
          <w:b/>
          <w:color w:val="00B050"/>
          <w:sz w:val="24"/>
          <w:szCs w:val="24"/>
        </w:rPr>
        <w:t xml:space="preserve"> Visitor Accommodation in Seaford</w:t>
      </w:r>
    </w:p>
    <w:p w14:paraId="0875D3D1" w14:textId="77777777" w:rsidR="00A5030F" w:rsidRPr="000030A7" w:rsidRDefault="00A5030F" w:rsidP="00A5030F">
      <w:pPr>
        <w:spacing w:after="0" w:line="276" w:lineRule="auto"/>
        <w:jc w:val="both"/>
        <w:outlineLvl w:val="0"/>
        <w:rPr>
          <w:b/>
          <w:color w:val="00B050"/>
          <w:sz w:val="24"/>
          <w:szCs w:val="24"/>
        </w:rPr>
      </w:pPr>
    </w:p>
    <w:p w14:paraId="2B4BA429" w14:textId="77777777" w:rsidR="00A5030F" w:rsidRDefault="00A5030F" w:rsidP="00A5030F">
      <w:pPr>
        <w:spacing w:after="0" w:line="276" w:lineRule="auto"/>
        <w:jc w:val="both"/>
        <w:outlineLvl w:val="0"/>
        <w:rPr>
          <w:b/>
          <w:color w:val="00B050"/>
          <w:sz w:val="24"/>
          <w:szCs w:val="24"/>
        </w:rPr>
      </w:pPr>
      <w:r w:rsidRPr="00631E15">
        <w:rPr>
          <w:b/>
          <w:color w:val="00B050"/>
          <w:sz w:val="24"/>
          <w:szCs w:val="24"/>
        </w:rPr>
        <w:t>The development of visitor accommodation within Seaford will be supported, subject to it respecting local character, residen</w:t>
      </w:r>
      <w:r>
        <w:rPr>
          <w:b/>
          <w:color w:val="00B050"/>
          <w:sz w:val="24"/>
          <w:szCs w:val="24"/>
        </w:rPr>
        <w:t xml:space="preserve">tial amenity and highway </w:t>
      </w:r>
      <w:proofErr w:type="gramStart"/>
      <w:r>
        <w:rPr>
          <w:b/>
          <w:color w:val="00B050"/>
          <w:sz w:val="24"/>
          <w:szCs w:val="24"/>
        </w:rPr>
        <w:t>safety</w:t>
      </w:r>
      <w:r w:rsidRPr="000030A7">
        <w:rPr>
          <w:b/>
          <w:color w:val="00B050"/>
          <w:sz w:val="24"/>
          <w:szCs w:val="24"/>
        </w:rPr>
        <w:t>.</w:t>
      </w:r>
      <w:r>
        <w:rPr>
          <w:b/>
          <w:color w:val="00B050"/>
          <w:sz w:val="24"/>
          <w:szCs w:val="24"/>
        </w:rPr>
        <w:t>(</w:t>
      </w:r>
      <w:proofErr w:type="gramEnd"/>
      <w:r>
        <w:rPr>
          <w:b/>
          <w:color w:val="00B050"/>
          <w:sz w:val="24"/>
          <w:szCs w:val="24"/>
        </w:rPr>
        <w:t>See paragraph 6.41)</w:t>
      </w:r>
    </w:p>
    <w:p w14:paraId="0FE58B52" w14:textId="77777777" w:rsidR="00A5030F" w:rsidRDefault="00A5030F" w:rsidP="00A5030F">
      <w:pPr>
        <w:spacing w:after="0" w:line="276" w:lineRule="auto"/>
        <w:jc w:val="both"/>
        <w:outlineLvl w:val="0"/>
        <w:rPr>
          <w:b/>
          <w:color w:val="00B050"/>
          <w:sz w:val="24"/>
          <w:szCs w:val="24"/>
        </w:rPr>
      </w:pPr>
    </w:p>
    <w:p w14:paraId="741E74C5" w14:textId="77777777" w:rsidR="00A5030F" w:rsidRPr="000030A7" w:rsidRDefault="00A5030F" w:rsidP="00A5030F">
      <w:pPr>
        <w:spacing w:after="0" w:line="276" w:lineRule="auto"/>
        <w:jc w:val="both"/>
        <w:rPr>
          <w:b/>
          <w:color w:val="00B050"/>
          <w:sz w:val="24"/>
          <w:szCs w:val="24"/>
        </w:rPr>
      </w:pPr>
      <w:r>
        <w:rPr>
          <w:b/>
          <w:color w:val="00B050"/>
          <w:sz w:val="24"/>
          <w:szCs w:val="24"/>
        </w:rPr>
        <w:t>SEA12</w:t>
      </w:r>
      <w:r w:rsidRPr="000030A7">
        <w:rPr>
          <w:b/>
          <w:color w:val="00B050"/>
          <w:sz w:val="24"/>
          <w:szCs w:val="24"/>
        </w:rPr>
        <w:t xml:space="preserve"> Footpath to Church Lane</w:t>
      </w:r>
    </w:p>
    <w:p w14:paraId="4F729B4F" w14:textId="77777777" w:rsidR="00A5030F" w:rsidRPr="000030A7" w:rsidRDefault="00A5030F" w:rsidP="00A5030F">
      <w:pPr>
        <w:spacing w:after="0" w:line="276" w:lineRule="auto"/>
        <w:jc w:val="both"/>
        <w:rPr>
          <w:b/>
          <w:color w:val="00B050"/>
          <w:sz w:val="24"/>
          <w:szCs w:val="24"/>
        </w:rPr>
      </w:pPr>
    </w:p>
    <w:p w14:paraId="7ABCF558" w14:textId="77777777" w:rsidR="00A5030F" w:rsidRDefault="00A5030F" w:rsidP="00A5030F">
      <w:pPr>
        <w:spacing w:after="0" w:line="276" w:lineRule="auto"/>
        <w:jc w:val="both"/>
        <w:rPr>
          <w:b/>
          <w:color w:val="00B050"/>
          <w:sz w:val="24"/>
          <w:szCs w:val="24"/>
        </w:rPr>
      </w:pPr>
      <w:r w:rsidRPr="000030A7">
        <w:rPr>
          <w:b/>
          <w:color w:val="00B050"/>
          <w:sz w:val="24"/>
          <w:szCs w:val="24"/>
        </w:rPr>
        <w:t xml:space="preserve">A pedestrian way linking Broad Street (between Nos 17 and 25 Broad Street) to Church Lane will be protected from development. Development proposals will incorporate such a link (or the relevant parts of such a link) in any proposals for redevelopment of any of the land or premises in the area of the route shown on </w:t>
      </w:r>
      <w:r w:rsidRPr="009A133F">
        <w:rPr>
          <w:b/>
          <w:color w:val="00B050"/>
          <w:sz w:val="24"/>
          <w:szCs w:val="24"/>
        </w:rPr>
        <w:t xml:space="preserve">Map </w:t>
      </w:r>
      <w:r>
        <w:rPr>
          <w:b/>
          <w:color w:val="00B050"/>
          <w:sz w:val="24"/>
          <w:szCs w:val="24"/>
        </w:rPr>
        <w:t xml:space="preserve">10 and Map 10A </w:t>
      </w:r>
      <w:proofErr w:type="spellStart"/>
      <w:r>
        <w:rPr>
          <w:b/>
          <w:color w:val="00B050"/>
          <w:sz w:val="24"/>
          <w:szCs w:val="24"/>
        </w:rPr>
        <w:t>i</w:t>
      </w:r>
      <w:proofErr w:type="spellEnd"/>
      <w:r w:rsidRPr="000030A7">
        <w:rPr>
          <w:b/>
          <w:color w:val="00B050"/>
          <w:sz w:val="24"/>
          <w:szCs w:val="24"/>
        </w:rPr>
        <w:t xml:space="preserve">. </w:t>
      </w:r>
      <w:r>
        <w:rPr>
          <w:b/>
          <w:color w:val="00B050"/>
          <w:sz w:val="24"/>
          <w:szCs w:val="24"/>
        </w:rPr>
        <w:t>(See paragraph 6.45)</w:t>
      </w:r>
    </w:p>
    <w:p w14:paraId="3E1D3465" w14:textId="77777777" w:rsidR="00A5030F" w:rsidRDefault="00A5030F" w:rsidP="00A5030F">
      <w:pPr>
        <w:spacing w:after="0" w:line="276" w:lineRule="auto"/>
        <w:jc w:val="both"/>
        <w:rPr>
          <w:b/>
          <w:color w:val="00B050"/>
          <w:sz w:val="24"/>
          <w:szCs w:val="24"/>
        </w:rPr>
      </w:pPr>
    </w:p>
    <w:p w14:paraId="016FD140" w14:textId="77777777" w:rsidR="00A5030F" w:rsidRPr="000030A7" w:rsidRDefault="00A5030F" w:rsidP="00A5030F">
      <w:pPr>
        <w:spacing w:line="276" w:lineRule="auto"/>
        <w:jc w:val="both"/>
        <w:outlineLvl w:val="0"/>
        <w:rPr>
          <w:b/>
          <w:color w:val="00B050"/>
          <w:sz w:val="24"/>
          <w:szCs w:val="24"/>
        </w:rPr>
      </w:pPr>
      <w:r>
        <w:rPr>
          <w:b/>
          <w:color w:val="00B050"/>
          <w:sz w:val="24"/>
          <w:szCs w:val="24"/>
        </w:rPr>
        <w:t>SEA13</w:t>
      </w:r>
      <w:r w:rsidRPr="000030A7">
        <w:rPr>
          <w:b/>
          <w:color w:val="00B050"/>
          <w:sz w:val="24"/>
          <w:szCs w:val="24"/>
        </w:rPr>
        <w:t xml:space="preserve"> Safeguarding Future Transport Projects</w:t>
      </w:r>
    </w:p>
    <w:p w14:paraId="39BB2D76" w14:textId="77777777" w:rsidR="00A5030F" w:rsidRDefault="00A5030F" w:rsidP="00A5030F">
      <w:pPr>
        <w:spacing w:after="0" w:line="276" w:lineRule="auto"/>
        <w:jc w:val="both"/>
        <w:outlineLvl w:val="0"/>
        <w:rPr>
          <w:b/>
          <w:color w:val="00B050"/>
          <w:sz w:val="24"/>
          <w:szCs w:val="24"/>
        </w:rPr>
      </w:pPr>
      <w:bookmarkStart w:id="1" w:name="_Hlk1814704"/>
      <w:r w:rsidRPr="001A4400">
        <w:rPr>
          <w:b/>
          <w:color w:val="00B050"/>
          <w:sz w:val="24"/>
          <w:szCs w:val="24"/>
        </w:rPr>
        <w:t xml:space="preserve">The land identified on </w:t>
      </w:r>
      <w:r>
        <w:rPr>
          <w:b/>
          <w:color w:val="00B050"/>
          <w:sz w:val="24"/>
          <w:szCs w:val="24"/>
        </w:rPr>
        <w:t>Map 10 and Map 10</w:t>
      </w:r>
      <w:r w:rsidRPr="0079439B">
        <w:rPr>
          <w:b/>
          <w:color w:val="00B050"/>
          <w:sz w:val="24"/>
          <w:szCs w:val="24"/>
        </w:rPr>
        <w:t>A ii</w:t>
      </w:r>
      <w:r w:rsidRPr="001A4400">
        <w:rPr>
          <w:b/>
          <w:color w:val="00B050"/>
          <w:sz w:val="24"/>
          <w:szCs w:val="24"/>
        </w:rPr>
        <w:t xml:space="preserve"> is safeguarded from any development that would prevent the re-dualling of t</w:t>
      </w:r>
      <w:r>
        <w:rPr>
          <w:b/>
          <w:color w:val="00B050"/>
          <w:sz w:val="24"/>
          <w:szCs w:val="24"/>
        </w:rPr>
        <w:t>he train line</w:t>
      </w:r>
      <w:r w:rsidRPr="000030A7">
        <w:rPr>
          <w:b/>
          <w:color w:val="00B050"/>
          <w:sz w:val="24"/>
          <w:szCs w:val="24"/>
        </w:rPr>
        <w:t xml:space="preserve">.  </w:t>
      </w:r>
      <w:bookmarkEnd w:id="1"/>
      <w:r>
        <w:rPr>
          <w:b/>
          <w:color w:val="00B050"/>
          <w:sz w:val="24"/>
          <w:szCs w:val="24"/>
        </w:rPr>
        <w:t>(See paragraph 6.47)</w:t>
      </w:r>
    </w:p>
    <w:p w14:paraId="5CCBDDF6" w14:textId="77777777" w:rsidR="00A5030F" w:rsidRDefault="00A5030F" w:rsidP="00A5030F">
      <w:pPr>
        <w:spacing w:after="0" w:line="276" w:lineRule="auto"/>
        <w:jc w:val="both"/>
        <w:outlineLvl w:val="0"/>
        <w:rPr>
          <w:b/>
          <w:color w:val="00B050"/>
          <w:sz w:val="24"/>
          <w:szCs w:val="24"/>
        </w:rPr>
      </w:pPr>
    </w:p>
    <w:p w14:paraId="140F005C" w14:textId="77777777" w:rsidR="00A5030F" w:rsidRPr="000030A7" w:rsidRDefault="00A5030F" w:rsidP="00A5030F">
      <w:pPr>
        <w:spacing w:after="0" w:line="276" w:lineRule="auto"/>
        <w:jc w:val="both"/>
        <w:rPr>
          <w:b/>
          <w:color w:val="00B050"/>
          <w:sz w:val="24"/>
          <w:szCs w:val="24"/>
        </w:rPr>
      </w:pPr>
      <w:r>
        <w:rPr>
          <w:b/>
          <w:color w:val="00B050"/>
          <w:sz w:val="24"/>
          <w:szCs w:val="24"/>
        </w:rPr>
        <w:t>SEA14</w:t>
      </w:r>
      <w:r w:rsidRPr="000030A7">
        <w:rPr>
          <w:b/>
          <w:color w:val="00B050"/>
          <w:sz w:val="24"/>
          <w:szCs w:val="24"/>
        </w:rPr>
        <w:t xml:space="preserve"> Site Allocations</w:t>
      </w:r>
    </w:p>
    <w:p w14:paraId="1E8D82AB" w14:textId="77777777" w:rsidR="00A5030F" w:rsidRPr="000030A7" w:rsidRDefault="00A5030F" w:rsidP="00A5030F">
      <w:pPr>
        <w:spacing w:after="0" w:line="276" w:lineRule="auto"/>
        <w:ind w:left="720" w:hanging="720"/>
        <w:jc w:val="both"/>
        <w:rPr>
          <w:b/>
          <w:color w:val="00B050"/>
          <w:sz w:val="24"/>
          <w:szCs w:val="24"/>
        </w:rPr>
      </w:pPr>
    </w:p>
    <w:p w14:paraId="35DAAB45" w14:textId="77777777" w:rsidR="00A5030F" w:rsidRPr="000030A7" w:rsidRDefault="00A5030F" w:rsidP="00A5030F">
      <w:pPr>
        <w:spacing w:after="0" w:line="276" w:lineRule="auto"/>
        <w:jc w:val="both"/>
        <w:rPr>
          <w:b/>
          <w:color w:val="00B050"/>
          <w:sz w:val="24"/>
          <w:szCs w:val="24"/>
        </w:rPr>
      </w:pPr>
      <w:r w:rsidRPr="001A4400">
        <w:rPr>
          <w:b/>
          <w:color w:val="00B050"/>
          <w:sz w:val="24"/>
          <w:szCs w:val="24"/>
        </w:rPr>
        <w:t xml:space="preserve">To contribute to the development of at least 185 dwellings in the Neighbourhood Area during the plan period, the following sites, as defined </w:t>
      </w:r>
      <w:r w:rsidRPr="009F17D7">
        <w:rPr>
          <w:b/>
          <w:color w:val="00B050"/>
          <w:sz w:val="24"/>
          <w:szCs w:val="24"/>
        </w:rPr>
        <w:t>on Map 11,</w:t>
      </w:r>
      <w:r w:rsidRPr="001A4400">
        <w:rPr>
          <w:b/>
          <w:color w:val="00B050"/>
          <w:sz w:val="24"/>
          <w:szCs w:val="24"/>
        </w:rPr>
        <w:t xml:space="preserve"> have been identified as site</w:t>
      </w:r>
      <w:r>
        <w:rPr>
          <w:b/>
          <w:color w:val="00B050"/>
          <w:sz w:val="24"/>
          <w:szCs w:val="24"/>
        </w:rPr>
        <w:t xml:space="preserve">s where residential development </w:t>
      </w:r>
      <w:r w:rsidRPr="001A4400">
        <w:rPr>
          <w:b/>
          <w:color w:val="00B050"/>
          <w:sz w:val="24"/>
          <w:szCs w:val="24"/>
        </w:rPr>
        <w:t>(</w:t>
      </w:r>
      <w:r w:rsidRPr="009F17D7">
        <w:rPr>
          <w:b/>
          <w:color w:val="00B050"/>
          <w:sz w:val="24"/>
          <w:szCs w:val="24"/>
        </w:rPr>
        <w:t>approximate number of dwellings shown in brackets)</w:t>
      </w:r>
      <w:r>
        <w:rPr>
          <w:b/>
          <w:color w:val="00B050"/>
          <w:sz w:val="24"/>
          <w:szCs w:val="24"/>
        </w:rPr>
        <w:t xml:space="preserve"> will be supported</w:t>
      </w:r>
      <w:r w:rsidRPr="000030A7">
        <w:rPr>
          <w:b/>
          <w:color w:val="00B050"/>
          <w:sz w:val="24"/>
          <w:szCs w:val="24"/>
        </w:rPr>
        <w:t>:</w:t>
      </w:r>
    </w:p>
    <w:p w14:paraId="20E9450B" w14:textId="77777777" w:rsidR="00A5030F" w:rsidRPr="000030A7" w:rsidRDefault="00A5030F" w:rsidP="00A5030F">
      <w:pPr>
        <w:spacing w:before="120" w:after="0" w:line="276" w:lineRule="auto"/>
        <w:ind w:left="720" w:hanging="720"/>
        <w:jc w:val="both"/>
        <w:rPr>
          <w:b/>
          <w:color w:val="00B050"/>
          <w:sz w:val="24"/>
          <w:szCs w:val="24"/>
        </w:rPr>
      </w:pPr>
      <w:proofErr w:type="spellStart"/>
      <w:r w:rsidRPr="000030A7">
        <w:rPr>
          <w:b/>
          <w:color w:val="00B050"/>
          <w:sz w:val="24"/>
          <w:szCs w:val="24"/>
        </w:rPr>
        <w:t>i</w:t>
      </w:r>
      <w:proofErr w:type="spellEnd"/>
      <w:r w:rsidRPr="000030A7">
        <w:rPr>
          <w:b/>
          <w:color w:val="00B050"/>
          <w:sz w:val="24"/>
          <w:szCs w:val="24"/>
        </w:rPr>
        <w:t>.</w:t>
      </w:r>
      <w:r w:rsidRPr="000030A7">
        <w:rPr>
          <w:b/>
          <w:color w:val="00B050"/>
          <w:sz w:val="24"/>
          <w:szCs w:val="24"/>
        </w:rPr>
        <w:tab/>
        <w:t xml:space="preserve">Dane Valley Project Area – </w:t>
      </w:r>
      <w:r>
        <w:rPr>
          <w:b/>
          <w:color w:val="00B050"/>
          <w:sz w:val="24"/>
          <w:szCs w:val="24"/>
        </w:rPr>
        <w:t>(104 dwellings/</w:t>
      </w:r>
      <w:r w:rsidRPr="000030A7">
        <w:rPr>
          <w:b/>
          <w:color w:val="00B050"/>
          <w:sz w:val="24"/>
          <w:szCs w:val="24"/>
        </w:rPr>
        <w:t>net addition of 74) and employment space</w:t>
      </w:r>
    </w:p>
    <w:p w14:paraId="300A7BB5" w14:textId="77777777" w:rsidR="00A5030F" w:rsidRPr="000030A7" w:rsidRDefault="00A5030F" w:rsidP="00A5030F">
      <w:pPr>
        <w:spacing w:after="0" w:line="276" w:lineRule="auto"/>
        <w:ind w:left="720" w:hanging="720"/>
        <w:jc w:val="both"/>
        <w:rPr>
          <w:b/>
          <w:color w:val="00B050"/>
          <w:sz w:val="24"/>
          <w:szCs w:val="24"/>
        </w:rPr>
      </w:pPr>
      <w:r w:rsidRPr="000030A7">
        <w:rPr>
          <w:b/>
          <w:color w:val="00B050"/>
          <w:sz w:val="24"/>
          <w:szCs w:val="24"/>
        </w:rPr>
        <w:t>ii.</w:t>
      </w:r>
      <w:r w:rsidRPr="000030A7">
        <w:rPr>
          <w:b/>
          <w:color w:val="00B050"/>
          <w:sz w:val="24"/>
          <w:szCs w:val="24"/>
        </w:rPr>
        <w:tab/>
        <w:t>J</w:t>
      </w:r>
      <w:r>
        <w:rPr>
          <w:b/>
          <w:color w:val="00B050"/>
          <w:sz w:val="24"/>
          <w:szCs w:val="24"/>
        </w:rPr>
        <w:t>ermyn Ford, 10 Claremont Road (</w:t>
      </w:r>
      <w:r w:rsidRPr="000030A7">
        <w:rPr>
          <w:b/>
          <w:color w:val="00B050"/>
          <w:sz w:val="24"/>
          <w:szCs w:val="24"/>
        </w:rPr>
        <w:t>20 dwellings</w:t>
      </w:r>
      <w:r>
        <w:rPr>
          <w:b/>
          <w:color w:val="00B050"/>
          <w:sz w:val="24"/>
          <w:szCs w:val="24"/>
        </w:rPr>
        <w:t>)</w:t>
      </w:r>
    </w:p>
    <w:p w14:paraId="1D3897E3" w14:textId="77777777" w:rsidR="00A5030F" w:rsidRPr="000030A7" w:rsidRDefault="00A5030F" w:rsidP="00A5030F">
      <w:pPr>
        <w:spacing w:after="0" w:line="276" w:lineRule="auto"/>
        <w:ind w:left="720" w:hanging="720"/>
        <w:jc w:val="both"/>
        <w:rPr>
          <w:b/>
          <w:color w:val="00B050"/>
          <w:sz w:val="24"/>
          <w:szCs w:val="24"/>
        </w:rPr>
      </w:pPr>
      <w:r w:rsidRPr="000030A7">
        <w:rPr>
          <w:b/>
          <w:color w:val="00B050"/>
          <w:sz w:val="24"/>
          <w:szCs w:val="24"/>
        </w:rPr>
        <w:t>iii.</w:t>
      </w:r>
      <w:r w:rsidRPr="000030A7">
        <w:rPr>
          <w:b/>
          <w:color w:val="00B050"/>
          <w:sz w:val="24"/>
          <w:szCs w:val="24"/>
        </w:rPr>
        <w:tab/>
        <w:t xml:space="preserve">10 Homefield Place </w:t>
      </w:r>
      <w:r>
        <w:rPr>
          <w:b/>
          <w:color w:val="00B050"/>
          <w:sz w:val="24"/>
          <w:szCs w:val="24"/>
        </w:rPr>
        <w:t>(</w:t>
      </w:r>
      <w:r w:rsidRPr="000030A7">
        <w:rPr>
          <w:b/>
          <w:color w:val="00B050"/>
          <w:sz w:val="24"/>
          <w:szCs w:val="24"/>
        </w:rPr>
        <w:t>19 dwellings</w:t>
      </w:r>
      <w:r>
        <w:rPr>
          <w:b/>
          <w:color w:val="00B050"/>
          <w:sz w:val="24"/>
          <w:szCs w:val="24"/>
        </w:rPr>
        <w:t>)</w:t>
      </w:r>
    </w:p>
    <w:p w14:paraId="1F279DBC" w14:textId="77777777" w:rsidR="00A5030F" w:rsidRPr="000030A7" w:rsidRDefault="00A5030F" w:rsidP="00A5030F">
      <w:pPr>
        <w:spacing w:after="0" w:line="276" w:lineRule="auto"/>
        <w:ind w:left="720" w:hanging="720"/>
        <w:jc w:val="both"/>
        <w:rPr>
          <w:b/>
          <w:color w:val="00B050"/>
          <w:sz w:val="24"/>
          <w:szCs w:val="24"/>
        </w:rPr>
      </w:pPr>
      <w:r w:rsidRPr="000030A7">
        <w:rPr>
          <w:b/>
          <w:color w:val="00B050"/>
          <w:sz w:val="24"/>
          <w:szCs w:val="24"/>
        </w:rPr>
        <w:t>iv.</w:t>
      </w:r>
      <w:r w:rsidRPr="000030A7">
        <w:rPr>
          <w:b/>
          <w:color w:val="00B050"/>
          <w:sz w:val="24"/>
          <w:szCs w:val="24"/>
        </w:rPr>
        <w:tab/>
        <w:t xml:space="preserve">Brooklyn Hyundai, Claremont Road </w:t>
      </w:r>
      <w:r>
        <w:rPr>
          <w:b/>
          <w:color w:val="00B050"/>
          <w:sz w:val="24"/>
          <w:szCs w:val="24"/>
        </w:rPr>
        <w:t>(</w:t>
      </w:r>
      <w:r w:rsidRPr="000030A7">
        <w:rPr>
          <w:b/>
          <w:color w:val="00B050"/>
          <w:sz w:val="24"/>
          <w:szCs w:val="24"/>
        </w:rPr>
        <w:t>13 dwellings</w:t>
      </w:r>
      <w:r>
        <w:rPr>
          <w:b/>
          <w:color w:val="00B050"/>
          <w:sz w:val="24"/>
          <w:szCs w:val="24"/>
        </w:rPr>
        <w:t>)</w:t>
      </w:r>
    </w:p>
    <w:p w14:paraId="4DDAE699" w14:textId="77777777" w:rsidR="00A5030F" w:rsidRPr="000030A7" w:rsidRDefault="00A5030F" w:rsidP="00A5030F">
      <w:pPr>
        <w:spacing w:after="0" w:line="276" w:lineRule="auto"/>
        <w:ind w:left="720" w:hanging="720"/>
        <w:jc w:val="both"/>
        <w:rPr>
          <w:b/>
          <w:color w:val="00B050"/>
          <w:sz w:val="24"/>
          <w:szCs w:val="24"/>
        </w:rPr>
      </w:pPr>
      <w:r w:rsidRPr="000030A7">
        <w:rPr>
          <w:b/>
          <w:color w:val="00B050"/>
          <w:sz w:val="24"/>
          <w:szCs w:val="24"/>
        </w:rPr>
        <w:lastRenderedPageBreak/>
        <w:t>v.</w:t>
      </w:r>
      <w:r w:rsidRPr="000030A7">
        <w:rPr>
          <w:b/>
          <w:color w:val="00B050"/>
          <w:sz w:val="24"/>
          <w:szCs w:val="24"/>
        </w:rPr>
        <w:tab/>
        <w:t>*Ho</w:t>
      </w:r>
      <w:r>
        <w:rPr>
          <w:b/>
          <w:color w:val="00B050"/>
          <w:sz w:val="24"/>
          <w:szCs w:val="24"/>
        </w:rPr>
        <w:t>lmes Lodge, 72 Claremont Road (</w:t>
      </w:r>
      <w:r w:rsidRPr="000030A7">
        <w:rPr>
          <w:b/>
          <w:color w:val="00B050"/>
          <w:sz w:val="24"/>
          <w:szCs w:val="24"/>
        </w:rPr>
        <w:t>12 dwellings</w:t>
      </w:r>
      <w:r>
        <w:rPr>
          <w:b/>
          <w:color w:val="00B050"/>
          <w:sz w:val="24"/>
          <w:szCs w:val="24"/>
        </w:rPr>
        <w:t>)</w:t>
      </w:r>
    </w:p>
    <w:p w14:paraId="61CD695A" w14:textId="77777777" w:rsidR="00A5030F" w:rsidRPr="000030A7" w:rsidRDefault="00A5030F" w:rsidP="00A5030F">
      <w:pPr>
        <w:spacing w:after="0" w:line="276" w:lineRule="auto"/>
        <w:ind w:left="720" w:hanging="720"/>
        <w:jc w:val="both"/>
        <w:rPr>
          <w:b/>
          <w:color w:val="00B050"/>
          <w:sz w:val="24"/>
          <w:szCs w:val="24"/>
        </w:rPr>
      </w:pPr>
      <w:r w:rsidRPr="000030A7">
        <w:rPr>
          <w:b/>
          <w:color w:val="00B050"/>
          <w:sz w:val="24"/>
          <w:szCs w:val="24"/>
        </w:rPr>
        <w:t>vi.</w:t>
      </w:r>
      <w:r w:rsidRPr="000030A7">
        <w:rPr>
          <w:b/>
          <w:color w:val="00B050"/>
          <w:sz w:val="24"/>
          <w:szCs w:val="24"/>
        </w:rPr>
        <w:tab/>
        <w:t>*Station Approach/Dan</w:t>
      </w:r>
      <w:r>
        <w:rPr>
          <w:b/>
          <w:color w:val="00B050"/>
          <w:sz w:val="24"/>
          <w:szCs w:val="24"/>
        </w:rPr>
        <w:t xml:space="preserve">e Road </w:t>
      </w:r>
      <w:r w:rsidRPr="000030A7">
        <w:rPr>
          <w:b/>
          <w:color w:val="00B050"/>
          <w:sz w:val="24"/>
          <w:szCs w:val="24"/>
        </w:rPr>
        <w:t>above existing retail space</w:t>
      </w:r>
      <w:r>
        <w:rPr>
          <w:b/>
          <w:color w:val="00B050"/>
          <w:sz w:val="24"/>
          <w:szCs w:val="24"/>
        </w:rPr>
        <w:t xml:space="preserve"> (</w:t>
      </w:r>
      <w:r w:rsidRPr="000030A7">
        <w:rPr>
          <w:b/>
          <w:color w:val="00B050"/>
          <w:sz w:val="24"/>
          <w:szCs w:val="24"/>
        </w:rPr>
        <w:t>12 dwellings</w:t>
      </w:r>
      <w:r>
        <w:rPr>
          <w:b/>
          <w:color w:val="00B050"/>
          <w:sz w:val="24"/>
          <w:szCs w:val="24"/>
        </w:rPr>
        <w:t>)</w:t>
      </w:r>
    </w:p>
    <w:p w14:paraId="204F7F82" w14:textId="77777777" w:rsidR="00A5030F" w:rsidRPr="000030A7" w:rsidRDefault="00A5030F" w:rsidP="00A5030F">
      <w:pPr>
        <w:spacing w:after="0" w:line="276" w:lineRule="auto"/>
        <w:ind w:left="720" w:hanging="720"/>
        <w:jc w:val="both"/>
        <w:rPr>
          <w:b/>
          <w:color w:val="00B050"/>
          <w:sz w:val="24"/>
          <w:szCs w:val="24"/>
        </w:rPr>
      </w:pPr>
      <w:r w:rsidRPr="000030A7">
        <w:rPr>
          <w:b/>
          <w:color w:val="00B050"/>
          <w:sz w:val="24"/>
          <w:szCs w:val="24"/>
        </w:rPr>
        <w:t>vii.</w:t>
      </w:r>
      <w:r w:rsidRPr="000030A7">
        <w:rPr>
          <w:b/>
          <w:color w:val="00B050"/>
          <w:sz w:val="24"/>
          <w:szCs w:val="24"/>
        </w:rPr>
        <w:tab/>
        <w:t>Seve</w:t>
      </w:r>
      <w:r>
        <w:rPr>
          <w:b/>
          <w:color w:val="00B050"/>
          <w:sz w:val="24"/>
          <w:szCs w:val="24"/>
        </w:rPr>
        <w:t xml:space="preserve">n Sisters pub, </w:t>
      </w:r>
      <w:proofErr w:type="spellStart"/>
      <w:r>
        <w:rPr>
          <w:b/>
          <w:color w:val="00B050"/>
          <w:sz w:val="24"/>
          <w:szCs w:val="24"/>
        </w:rPr>
        <w:t>Alfriston</w:t>
      </w:r>
      <w:proofErr w:type="spellEnd"/>
      <w:r>
        <w:rPr>
          <w:b/>
          <w:color w:val="00B050"/>
          <w:sz w:val="24"/>
          <w:szCs w:val="24"/>
        </w:rPr>
        <w:t xml:space="preserve"> Road (</w:t>
      </w:r>
      <w:r w:rsidRPr="000030A7">
        <w:rPr>
          <w:b/>
          <w:color w:val="00B050"/>
          <w:sz w:val="24"/>
          <w:szCs w:val="24"/>
        </w:rPr>
        <w:t>9 dwellings</w:t>
      </w:r>
      <w:r>
        <w:rPr>
          <w:b/>
          <w:color w:val="00B050"/>
          <w:sz w:val="24"/>
          <w:szCs w:val="24"/>
        </w:rPr>
        <w:t>)</w:t>
      </w:r>
    </w:p>
    <w:p w14:paraId="24DB6197" w14:textId="77777777" w:rsidR="00A5030F" w:rsidRPr="000030A7" w:rsidRDefault="00A5030F" w:rsidP="00A5030F">
      <w:pPr>
        <w:spacing w:after="0" w:line="276" w:lineRule="auto"/>
        <w:ind w:left="720" w:hanging="720"/>
        <w:jc w:val="both"/>
        <w:rPr>
          <w:b/>
          <w:color w:val="00B050"/>
          <w:sz w:val="24"/>
          <w:szCs w:val="24"/>
        </w:rPr>
      </w:pPr>
      <w:r w:rsidRPr="000030A7">
        <w:rPr>
          <w:b/>
          <w:color w:val="00B050"/>
          <w:sz w:val="24"/>
          <w:szCs w:val="24"/>
        </w:rPr>
        <w:t>viii.</w:t>
      </w:r>
      <w:r w:rsidRPr="000030A7">
        <w:rPr>
          <w:b/>
          <w:color w:val="00B050"/>
          <w:sz w:val="24"/>
          <w:szCs w:val="24"/>
        </w:rPr>
        <w:tab/>
        <w:t>*Old Hou</w:t>
      </w:r>
      <w:r>
        <w:rPr>
          <w:b/>
          <w:color w:val="00B050"/>
          <w:sz w:val="24"/>
          <w:szCs w:val="24"/>
        </w:rPr>
        <w:t>se Depository, Claremont Road (</w:t>
      </w:r>
      <w:r w:rsidRPr="000030A7">
        <w:rPr>
          <w:b/>
          <w:color w:val="00B050"/>
          <w:sz w:val="24"/>
          <w:szCs w:val="24"/>
        </w:rPr>
        <w:t>35 dwellings</w:t>
      </w:r>
      <w:r>
        <w:rPr>
          <w:b/>
          <w:color w:val="00B050"/>
          <w:sz w:val="24"/>
          <w:szCs w:val="24"/>
        </w:rPr>
        <w:t>)</w:t>
      </w:r>
    </w:p>
    <w:p w14:paraId="0F3B9CA6" w14:textId="77777777" w:rsidR="00A5030F" w:rsidRPr="000030A7" w:rsidRDefault="00A5030F" w:rsidP="00A5030F">
      <w:pPr>
        <w:spacing w:after="0" w:line="276" w:lineRule="auto"/>
        <w:ind w:left="720" w:hanging="720"/>
        <w:jc w:val="both"/>
        <w:rPr>
          <w:b/>
          <w:color w:val="00B050"/>
          <w:sz w:val="24"/>
          <w:szCs w:val="24"/>
        </w:rPr>
      </w:pPr>
      <w:r w:rsidRPr="000030A7">
        <w:rPr>
          <w:b/>
          <w:color w:val="00B050"/>
          <w:sz w:val="24"/>
          <w:szCs w:val="24"/>
        </w:rPr>
        <w:t>ix.</w:t>
      </w:r>
      <w:r>
        <w:rPr>
          <w:b/>
          <w:color w:val="00B050"/>
          <w:sz w:val="24"/>
          <w:szCs w:val="24"/>
        </w:rPr>
        <w:tab/>
        <w:t>*</w:t>
      </w:r>
      <w:proofErr w:type="spellStart"/>
      <w:r>
        <w:rPr>
          <w:b/>
          <w:color w:val="00B050"/>
          <w:sz w:val="24"/>
          <w:szCs w:val="24"/>
        </w:rPr>
        <w:t>Elmcourt</w:t>
      </w:r>
      <w:proofErr w:type="spellEnd"/>
      <w:r>
        <w:rPr>
          <w:b/>
          <w:color w:val="00B050"/>
          <w:sz w:val="24"/>
          <w:szCs w:val="24"/>
        </w:rPr>
        <w:t>, Blatchington Road (</w:t>
      </w:r>
      <w:r w:rsidRPr="000030A7">
        <w:rPr>
          <w:b/>
          <w:color w:val="00B050"/>
          <w:sz w:val="24"/>
          <w:szCs w:val="24"/>
        </w:rPr>
        <w:t>9 dwellings</w:t>
      </w:r>
      <w:r>
        <w:rPr>
          <w:b/>
          <w:color w:val="00B050"/>
          <w:sz w:val="24"/>
          <w:szCs w:val="24"/>
        </w:rPr>
        <w:t>)</w:t>
      </w:r>
    </w:p>
    <w:p w14:paraId="7CF54805" w14:textId="77777777" w:rsidR="00A5030F" w:rsidRPr="000030A7" w:rsidRDefault="00A5030F" w:rsidP="00A5030F">
      <w:pPr>
        <w:spacing w:after="0" w:line="276" w:lineRule="auto"/>
        <w:ind w:left="720" w:hanging="720"/>
        <w:jc w:val="both"/>
        <w:rPr>
          <w:b/>
          <w:color w:val="00B050"/>
          <w:sz w:val="24"/>
          <w:szCs w:val="24"/>
        </w:rPr>
      </w:pPr>
      <w:r>
        <w:rPr>
          <w:b/>
          <w:color w:val="00B050"/>
          <w:sz w:val="24"/>
          <w:szCs w:val="24"/>
        </w:rPr>
        <w:t>x.</w:t>
      </w:r>
      <w:r>
        <w:rPr>
          <w:b/>
          <w:color w:val="00B050"/>
          <w:sz w:val="24"/>
          <w:szCs w:val="24"/>
        </w:rPr>
        <w:tab/>
        <w:t>Florence House (</w:t>
      </w:r>
      <w:r w:rsidRPr="000030A7">
        <w:rPr>
          <w:b/>
          <w:color w:val="00B050"/>
          <w:sz w:val="24"/>
          <w:szCs w:val="24"/>
        </w:rPr>
        <w:t>7 dwellings</w:t>
      </w:r>
      <w:r>
        <w:rPr>
          <w:b/>
          <w:color w:val="00B050"/>
          <w:sz w:val="24"/>
          <w:szCs w:val="24"/>
        </w:rPr>
        <w:t>)</w:t>
      </w:r>
    </w:p>
    <w:p w14:paraId="68D8DF1A" w14:textId="77777777" w:rsidR="00A5030F" w:rsidRDefault="00A5030F" w:rsidP="00A5030F">
      <w:pPr>
        <w:spacing w:before="120" w:after="0" w:line="276" w:lineRule="auto"/>
        <w:ind w:left="720" w:hanging="720"/>
        <w:jc w:val="both"/>
        <w:rPr>
          <w:b/>
          <w:color w:val="00B050"/>
          <w:sz w:val="24"/>
          <w:szCs w:val="24"/>
        </w:rPr>
      </w:pPr>
      <w:r w:rsidRPr="000030A7">
        <w:rPr>
          <w:b/>
          <w:color w:val="00B050"/>
          <w:sz w:val="24"/>
          <w:szCs w:val="24"/>
        </w:rPr>
        <w:t>* identified by Lewes District Council in 2015</w:t>
      </w:r>
    </w:p>
    <w:p w14:paraId="62F3C8E0" w14:textId="77777777" w:rsidR="00A5030F" w:rsidRPr="000030A7" w:rsidRDefault="00A5030F" w:rsidP="00A5030F">
      <w:pPr>
        <w:spacing w:before="120" w:after="0" w:line="276" w:lineRule="auto"/>
        <w:jc w:val="both"/>
        <w:rPr>
          <w:b/>
          <w:color w:val="00B050"/>
          <w:sz w:val="24"/>
          <w:szCs w:val="24"/>
        </w:rPr>
      </w:pPr>
      <w:r w:rsidRPr="001A4400">
        <w:rPr>
          <w:b/>
          <w:color w:val="00B050"/>
          <w:sz w:val="24"/>
          <w:szCs w:val="24"/>
        </w:rPr>
        <w:t>Site viii, the Old House Depository site was delivered during the plan period, prior to the making of the Neighbourhood Plan</w:t>
      </w:r>
    </w:p>
    <w:p w14:paraId="3D6E30D0" w14:textId="77777777" w:rsidR="00A5030F" w:rsidRPr="000030A7" w:rsidRDefault="00A5030F" w:rsidP="00A5030F">
      <w:pPr>
        <w:spacing w:after="0" w:line="276" w:lineRule="auto"/>
        <w:ind w:left="720" w:hanging="720"/>
        <w:jc w:val="both"/>
        <w:rPr>
          <w:b/>
          <w:color w:val="00B050"/>
          <w:sz w:val="24"/>
          <w:szCs w:val="24"/>
        </w:rPr>
      </w:pPr>
    </w:p>
    <w:p w14:paraId="47536392" w14:textId="77777777" w:rsidR="00A5030F" w:rsidRDefault="00A5030F" w:rsidP="00A5030F">
      <w:pPr>
        <w:spacing w:after="0" w:line="276" w:lineRule="auto"/>
        <w:ind w:left="720" w:hanging="720"/>
        <w:jc w:val="both"/>
        <w:rPr>
          <w:b/>
          <w:color w:val="00B050"/>
          <w:sz w:val="24"/>
          <w:szCs w:val="24"/>
        </w:rPr>
      </w:pPr>
      <w:r>
        <w:rPr>
          <w:b/>
          <w:color w:val="00B050"/>
          <w:sz w:val="24"/>
          <w:szCs w:val="24"/>
        </w:rPr>
        <w:t>A total of 210</w:t>
      </w:r>
      <w:r w:rsidRPr="000030A7">
        <w:rPr>
          <w:b/>
          <w:color w:val="00B050"/>
          <w:sz w:val="24"/>
          <w:szCs w:val="24"/>
        </w:rPr>
        <w:t xml:space="preserve"> dwellings against a target of 185 dwellings</w:t>
      </w:r>
      <w:r w:rsidR="00711CB9">
        <w:rPr>
          <w:b/>
          <w:color w:val="00B050"/>
          <w:sz w:val="24"/>
          <w:szCs w:val="24"/>
        </w:rPr>
        <w:t xml:space="preserve"> (See Paragraph 6.56)</w:t>
      </w:r>
    </w:p>
    <w:p w14:paraId="651FA0DE" w14:textId="77777777" w:rsidR="00711CB9" w:rsidRDefault="00711CB9" w:rsidP="00A5030F">
      <w:pPr>
        <w:spacing w:after="0" w:line="276" w:lineRule="auto"/>
        <w:ind w:left="720" w:hanging="720"/>
        <w:jc w:val="both"/>
        <w:rPr>
          <w:b/>
          <w:color w:val="00B050"/>
          <w:sz w:val="24"/>
          <w:szCs w:val="24"/>
        </w:rPr>
      </w:pPr>
    </w:p>
    <w:p w14:paraId="096B53C5" w14:textId="77777777" w:rsidR="00711CB9" w:rsidRDefault="00711CB9" w:rsidP="00711CB9">
      <w:pPr>
        <w:spacing w:after="0" w:line="276" w:lineRule="auto"/>
        <w:jc w:val="both"/>
        <w:rPr>
          <w:b/>
          <w:color w:val="00B050"/>
          <w:sz w:val="24"/>
          <w:szCs w:val="24"/>
        </w:rPr>
      </w:pPr>
      <w:r w:rsidRPr="000030A7">
        <w:rPr>
          <w:b/>
          <w:color w:val="00B050"/>
          <w:sz w:val="24"/>
          <w:szCs w:val="24"/>
        </w:rPr>
        <w:t>Occupation of sites (ii) and (viii) to be phased to align with the delivery of sewerage infrastructure, in liaison with the service provider.  Layout for site (ii) must be planned to ensure future access to the existing sewerage infrastructure for maintenance and upsizing purposes</w:t>
      </w:r>
    </w:p>
    <w:p w14:paraId="75796E5A" w14:textId="77777777" w:rsidR="00711CB9" w:rsidRDefault="00711CB9" w:rsidP="00711CB9">
      <w:pPr>
        <w:spacing w:after="0" w:line="276" w:lineRule="auto"/>
        <w:jc w:val="both"/>
        <w:rPr>
          <w:b/>
          <w:color w:val="00B050"/>
          <w:sz w:val="24"/>
          <w:szCs w:val="24"/>
        </w:rPr>
      </w:pPr>
    </w:p>
    <w:p w14:paraId="4E8B5EF7" w14:textId="77777777" w:rsidR="00711CB9" w:rsidRDefault="00711CB9" w:rsidP="00711CB9">
      <w:pPr>
        <w:spacing w:after="0" w:line="276" w:lineRule="auto"/>
        <w:jc w:val="both"/>
        <w:rPr>
          <w:b/>
          <w:color w:val="00B050"/>
          <w:sz w:val="24"/>
          <w:szCs w:val="24"/>
        </w:rPr>
      </w:pPr>
    </w:p>
    <w:p w14:paraId="53C715B4" w14:textId="77777777" w:rsidR="00711CB9" w:rsidRPr="000030A7" w:rsidRDefault="00711CB9" w:rsidP="00711CB9">
      <w:pPr>
        <w:rPr>
          <w:b/>
          <w:color w:val="00B050"/>
          <w:sz w:val="24"/>
          <w:szCs w:val="24"/>
        </w:rPr>
      </w:pPr>
      <w:r>
        <w:rPr>
          <w:b/>
          <w:color w:val="00B050"/>
          <w:sz w:val="24"/>
          <w:szCs w:val="24"/>
        </w:rPr>
        <w:t>SEA15</w:t>
      </w:r>
      <w:r w:rsidRPr="000030A7">
        <w:rPr>
          <w:b/>
          <w:color w:val="00B050"/>
          <w:sz w:val="24"/>
          <w:szCs w:val="24"/>
        </w:rPr>
        <w:t xml:space="preserve"> Dane Valley Project</w:t>
      </w:r>
    </w:p>
    <w:p w14:paraId="17986A6B" w14:textId="77777777" w:rsidR="00711CB9" w:rsidRPr="000030A7" w:rsidRDefault="00711CB9" w:rsidP="00711CB9">
      <w:pPr>
        <w:spacing w:after="0" w:line="276" w:lineRule="auto"/>
        <w:jc w:val="both"/>
        <w:rPr>
          <w:b/>
          <w:color w:val="00B050"/>
          <w:sz w:val="24"/>
          <w:szCs w:val="24"/>
        </w:rPr>
      </w:pPr>
    </w:p>
    <w:p w14:paraId="4D373E0C" w14:textId="77777777" w:rsidR="00711CB9" w:rsidRDefault="00711CB9" w:rsidP="00711CB9">
      <w:pPr>
        <w:spacing w:after="0" w:line="276" w:lineRule="auto"/>
        <w:jc w:val="both"/>
        <w:rPr>
          <w:b/>
          <w:color w:val="00B050"/>
          <w:sz w:val="24"/>
          <w:szCs w:val="24"/>
        </w:rPr>
      </w:pPr>
      <w:r w:rsidRPr="0071374A">
        <w:rPr>
          <w:b/>
          <w:color w:val="00B050"/>
          <w:sz w:val="24"/>
          <w:szCs w:val="24"/>
        </w:rPr>
        <w:t xml:space="preserve">The comprehensive masterplan-led development of the Dane Valley Project area, identified on </w:t>
      </w:r>
      <w:r w:rsidRPr="00527218">
        <w:rPr>
          <w:b/>
          <w:color w:val="00B050"/>
          <w:sz w:val="24"/>
          <w:szCs w:val="24"/>
        </w:rPr>
        <w:t>Map 1</w:t>
      </w:r>
      <w:r>
        <w:rPr>
          <w:b/>
          <w:color w:val="00B050"/>
          <w:sz w:val="24"/>
          <w:szCs w:val="24"/>
        </w:rPr>
        <w:t>2</w:t>
      </w:r>
      <w:r w:rsidRPr="0071374A">
        <w:rPr>
          <w:b/>
          <w:color w:val="00B050"/>
          <w:sz w:val="24"/>
          <w:szCs w:val="24"/>
        </w:rPr>
        <w:t xml:space="preserve">, for residential and employment use will be supported. Development proposals must demonstrate how they </w:t>
      </w:r>
      <w:proofErr w:type="gramStart"/>
      <w:r w:rsidRPr="0071374A">
        <w:rPr>
          <w:b/>
          <w:color w:val="00B050"/>
          <w:sz w:val="24"/>
          <w:szCs w:val="24"/>
        </w:rPr>
        <w:t>take into account</w:t>
      </w:r>
      <w:proofErr w:type="gramEnd"/>
      <w:r w:rsidRPr="0071374A">
        <w:rPr>
          <w:b/>
          <w:color w:val="00B050"/>
          <w:sz w:val="24"/>
          <w:szCs w:val="24"/>
        </w:rPr>
        <w:t xml:space="preserve"> the following: High quality design; flood risk; contaminated land; biodiversity; sustainable patterns of movement; surface and foul dra</w:t>
      </w:r>
      <w:r>
        <w:rPr>
          <w:b/>
          <w:color w:val="00B050"/>
          <w:sz w:val="24"/>
          <w:szCs w:val="24"/>
        </w:rPr>
        <w:t>inage; highway safety; phasing.</w:t>
      </w:r>
    </w:p>
    <w:p w14:paraId="5B542E85" w14:textId="77777777" w:rsidR="00711CB9" w:rsidRDefault="00211251" w:rsidP="00711CB9">
      <w:pPr>
        <w:spacing w:after="0" w:line="276" w:lineRule="auto"/>
        <w:jc w:val="both"/>
        <w:rPr>
          <w:b/>
          <w:color w:val="00B050"/>
          <w:sz w:val="24"/>
          <w:szCs w:val="24"/>
        </w:rPr>
      </w:pPr>
      <w:r>
        <w:rPr>
          <w:b/>
          <w:color w:val="00B050"/>
          <w:sz w:val="24"/>
          <w:szCs w:val="24"/>
        </w:rPr>
        <w:t>(See paragraph 6.5</w:t>
      </w:r>
      <w:r w:rsidR="00711CB9">
        <w:rPr>
          <w:b/>
          <w:color w:val="00B050"/>
          <w:sz w:val="24"/>
          <w:szCs w:val="24"/>
        </w:rPr>
        <w:t>7)</w:t>
      </w:r>
    </w:p>
    <w:p w14:paraId="47898E31" w14:textId="77777777" w:rsidR="00211251" w:rsidRDefault="00211251" w:rsidP="00711CB9">
      <w:pPr>
        <w:spacing w:after="0" w:line="276" w:lineRule="auto"/>
        <w:jc w:val="both"/>
        <w:rPr>
          <w:b/>
          <w:color w:val="00B050"/>
          <w:sz w:val="24"/>
          <w:szCs w:val="24"/>
        </w:rPr>
      </w:pPr>
    </w:p>
    <w:p w14:paraId="0320BA88" w14:textId="77777777" w:rsidR="00211251" w:rsidRPr="000030A7" w:rsidRDefault="00211251" w:rsidP="00211251">
      <w:pPr>
        <w:spacing w:after="0" w:line="276" w:lineRule="auto"/>
        <w:ind w:left="720" w:hanging="720"/>
        <w:jc w:val="both"/>
        <w:rPr>
          <w:b/>
          <w:color w:val="00B050"/>
          <w:sz w:val="24"/>
          <w:szCs w:val="24"/>
        </w:rPr>
      </w:pPr>
      <w:r>
        <w:rPr>
          <w:b/>
          <w:color w:val="00B050"/>
          <w:sz w:val="24"/>
          <w:szCs w:val="24"/>
        </w:rPr>
        <w:t>SEA16</w:t>
      </w:r>
      <w:r w:rsidRPr="000030A7">
        <w:rPr>
          <w:b/>
          <w:color w:val="00B050"/>
          <w:sz w:val="24"/>
          <w:szCs w:val="24"/>
        </w:rPr>
        <w:t xml:space="preserve"> Florence House</w:t>
      </w:r>
    </w:p>
    <w:p w14:paraId="19A0A6E2" w14:textId="77777777" w:rsidR="00211251" w:rsidRPr="000030A7" w:rsidRDefault="00211251" w:rsidP="00211251">
      <w:pPr>
        <w:spacing w:after="0" w:line="276" w:lineRule="auto"/>
        <w:ind w:left="720" w:hanging="720"/>
        <w:jc w:val="both"/>
        <w:rPr>
          <w:b/>
          <w:color w:val="00B050"/>
          <w:sz w:val="24"/>
          <w:szCs w:val="24"/>
        </w:rPr>
      </w:pPr>
    </w:p>
    <w:p w14:paraId="432EFDC7" w14:textId="77777777" w:rsidR="00211251" w:rsidRPr="000030A7" w:rsidRDefault="00211251" w:rsidP="00211251">
      <w:pPr>
        <w:spacing w:after="0" w:line="276" w:lineRule="auto"/>
        <w:ind w:left="720" w:hanging="720"/>
        <w:jc w:val="both"/>
        <w:rPr>
          <w:b/>
          <w:color w:val="00B050"/>
          <w:sz w:val="24"/>
          <w:szCs w:val="24"/>
        </w:rPr>
      </w:pPr>
      <w:r w:rsidRPr="000030A7">
        <w:rPr>
          <w:b/>
          <w:color w:val="00B050"/>
          <w:sz w:val="24"/>
          <w:szCs w:val="24"/>
        </w:rPr>
        <w:t>Development of the Florence House site will be subject to the following criteria:</w:t>
      </w:r>
    </w:p>
    <w:p w14:paraId="7CCA8552" w14:textId="77777777" w:rsidR="00211251" w:rsidRPr="000030A7" w:rsidRDefault="00211251" w:rsidP="00211251">
      <w:pPr>
        <w:spacing w:after="0" w:line="276" w:lineRule="auto"/>
        <w:ind w:left="340" w:hanging="340"/>
        <w:jc w:val="both"/>
        <w:rPr>
          <w:b/>
          <w:color w:val="00B050"/>
          <w:sz w:val="24"/>
          <w:szCs w:val="24"/>
        </w:rPr>
      </w:pPr>
      <w:r w:rsidRPr="000030A7">
        <w:rPr>
          <w:b/>
          <w:color w:val="00B050"/>
          <w:sz w:val="24"/>
          <w:szCs w:val="24"/>
        </w:rPr>
        <w:t>a)</w:t>
      </w:r>
      <w:r w:rsidRPr="000030A7">
        <w:rPr>
          <w:b/>
          <w:color w:val="00B050"/>
          <w:sz w:val="24"/>
          <w:szCs w:val="24"/>
        </w:rPr>
        <w:tab/>
        <w:t>This site is within a high risk archaeological zone and therefore any planning application will need to be accompanied by an archaeological assessment which includes on-site investigation works to demonstrate that the development can be implemented without causing harm to archaeology on the site; and</w:t>
      </w:r>
    </w:p>
    <w:p w14:paraId="00698651" w14:textId="77777777" w:rsidR="00211251" w:rsidRDefault="00211251" w:rsidP="00211251">
      <w:pPr>
        <w:spacing w:after="0" w:line="276" w:lineRule="auto"/>
        <w:ind w:left="340" w:hanging="340"/>
        <w:jc w:val="both"/>
        <w:rPr>
          <w:b/>
          <w:color w:val="00B050"/>
          <w:sz w:val="24"/>
          <w:szCs w:val="24"/>
        </w:rPr>
      </w:pPr>
      <w:r w:rsidRPr="000030A7">
        <w:rPr>
          <w:b/>
          <w:color w:val="00B050"/>
          <w:sz w:val="24"/>
          <w:szCs w:val="24"/>
        </w:rPr>
        <w:t>b)</w:t>
      </w:r>
      <w:r w:rsidRPr="000030A7">
        <w:rPr>
          <w:b/>
          <w:color w:val="00B050"/>
          <w:sz w:val="24"/>
          <w:szCs w:val="24"/>
        </w:rPr>
        <w:tab/>
        <w:t xml:space="preserve">This site is adjacent to priority habitat deciduous woodland and the design must avoid harm to this habitat where possible or mitigate any unavoidable harm in accordance with the mitigation </w:t>
      </w:r>
      <w:proofErr w:type="gramStart"/>
      <w:r w:rsidRPr="000030A7">
        <w:rPr>
          <w:b/>
          <w:color w:val="00B050"/>
          <w:sz w:val="24"/>
          <w:szCs w:val="24"/>
        </w:rPr>
        <w:t>hierarchy.</w:t>
      </w:r>
      <w:r w:rsidR="00D031FA">
        <w:rPr>
          <w:b/>
          <w:color w:val="00B050"/>
          <w:sz w:val="24"/>
          <w:szCs w:val="24"/>
        </w:rPr>
        <w:t>(</w:t>
      </w:r>
      <w:proofErr w:type="gramEnd"/>
      <w:r w:rsidR="00D031FA">
        <w:rPr>
          <w:b/>
          <w:color w:val="00B050"/>
          <w:sz w:val="24"/>
          <w:szCs w:val="24"/>
        </w:rPr>
        <w:t>See after paragraph 6.57)</w:t>
      </w:r>
    </w:p>
    <w:p w14:paraId="6B5277B6" w14:textId="77777777" w:rsidR="00D031FA" w:rsidRDefault="00D031FA" w:rsidP="00711CB9">
      <w:pPr>
        <w:spacing w:after="0" w:line="276" w:lineRule="auto"/>
        <w:jc w:val="both"/>
        <w:rPr>
          <w:b/>
          <w:color w:val="00B050"/>
          <w:sz w:val="24"/>
          <w:szCs w:val="24"/>
        </w:rPr>
      </w:pPr>
    </w:p>
    <w:p w14:paraId="55C77A5A" w14:textId="77777777" w:rsidR="00BC6090" w:rsidRDefault="00BC6090" w:rsidP="00D031FA">
      <w:pPr>
        <w:spacing w:after="0" w:line="276" w:lineRule="auto"/>
        <w:ind w:left="720" w:hanging="720"/>
        <w:jc w:val="both"/>
        <w:rPr>
          <w:b/>
          <w:color w:val="00B050"/>
          <w:sz w:val="24"/>
          <w:szCs w:val="24"/>
        </w:rPr>
      </w:pPr>
    </w:p>
    <w:p w14:paraId="60ADB2DF" w14:textId="77777777" w:rsidR="00BC6090" w:rsidRDefault="00BC6090" w:rsidP="00D031FA">
      <w:pPr>
        <w:spacing w:after="0" w:line="276" w:lineRule="auto"/>
        <w:ind w:left="720" w:hanging="720"/>
        <w:jc w:val="both"/>
        <w:rPr>
          <w:b/>
          <w:color w:val="00B050"/>
          <w:sz w:val="24"/>
          <w:szCs w:val="24"/>
        </w:rPr>
      </w:pPr>
    </w:p>
    <w:p w14:paraId="02B40F99" w14:textId="77777777" w:rsidR="00D031FA" w:rsidRPr="000030A7" w:rsidRDefault="00D031FA" w:rsidP="00D031FA">
      <w:pPr>
        <w:spacing w:after="0" w:line="276" w:lineRule="auto"/>
        <w:ind w:left="720" w:hanging="720"/>
        <w:jc w:val="both"/>
        <w:rPr>
          <w:b/>
          <w:color w:val="00B050"/>
          <w:sz w:val="24"/>
          <w:szCs w:val="24"/>
        </w:rPr>
      </w:pPr>
      <w:r w:rsidRPr="000030A7">
        <w:rPr>
          <w:b/>
          <w:color w:val="00B050"/>
          <w:sz w:val="24"/>
          <w:szCs w:val="24"/>
        </w:rPr>
        <w:lastRenderedPageBreak/>
        <w:t>SEA1</w:t>
      </w:r>
      <w:r>
        <w:rPr>
          <w:b/>
          <w:color w:val="00B050"/>
          <w:sz w:val="24"/>
          <w:szCs w:val="24"/>
        </w:rPr>
        <w:t>7 Brownfield</w:t>
      </w:r>
      <w:r w:rsidRPr="000030A7">
        <w:rPr>
          <w:b/>
          <w:color w:val="00B050"/>
          <w:sz w:val="24"/>
          <w:szCs w:val="24"/>
        </w:rPr>
        <w:t xml:space="preserve"> Development</w:t>
      </w:r>
    </w:p>
    <w:p w14:paraId="50C71A5A" w14:textId="77777777" w:rsidR="00D031FA" w:rsidRPr="000030A7" w:rsidRDefault="00D031FA" w:rsidP="00D031FA">
      <w:pPr>
        <w:spacing w:after="0" w:line="276" w:lineRule="auto"/>
        <w:ind w:left="720" w:hanging="720"/>
        <w:jc w:val="both"/>
        <w:rPr>
          <w:b/>
          <w:color w:val="00B050"/>
          <w:sz w:val="24"/>
          <w:szCs w:val="24"/>
        </w:rPr>
      </w:pPr>
    </w:p>
    <w:p w14:paraId="014ACA44" w14:textId="77777777" w:rsidR="00D031FA" w:rsidRDefault="00D031FA" w:rsidP="00D031FA">
      <w:pPr>
        <w:spacing w:after="0" w:line="276" w:lineRule="auto"/>
        <w:jc w:val="both"/>
        <w:rPr>
          <w:b/>
          <w:color w:val="00B050"/>
          <w:sz w:val="24"/>
          <w:szCs w:val="24"/>
        </w:rPr>
      </w:pPr>
      <w:r w:rsidRPr="0071374A">
        <w:rPr>
          <w:b/>
          <w:color w:val="00B050"/>
          <w:sz w:val="24"/>
          <w:szCs w:val="24"/>
        </w:rPr>
        <w:t>The redevelopment of brownfield or previously-developed land will be supported, subject to respecting local character, residen</w:t>
      </w:r>
      <w:r>
        <w:rPr>
          <w:b/>
          <w:color w:val="00B050"/>
          <w:sz w:val="24"/>
          <w:szCs w:val="24"/>
        </w:rPr>
        <w:t xml:space="preserve">tial amenity and highway </w:t>
      </w:r>
      <w:proofErr w:type="gramStart"/>
      <w:r>
        <w:rPr>
          <w:b/>
          <w:color w:val="00B050"/>
          <w:sz w:val="24"/>
          <w:szCs w:val="24"/>
        </w:rPr>
        <w:t>safety</w:t>
      </w:r>
      <w:r w:rsidRPr="000030A7">
        <w:rPr>
          <w:b/>
          <w:color w:val="00B050"/>
          <w:sz w:val="24"/>
          <w:szCs w:val="24"/>
        </w:rPr>
        <w:t>.</w:t>
      </w:r>
      <w:r>
        <w:rPr>
          <w:b/>
          <w:color w:val="00B050"/>
          <w:sz w:val="24"/>
          <w:szCs w:val="24"/>
        </w:rPr>
        <w:t>(</w:t>
      </w:r>
      <w:proofErr w:type="gramEnd"/>
      <w:r>
        <w:rPr>
          <w:b/>
          <w:color w:val="00B050"/>
          <w:sz w:val="24"/>
          <w:szCs w:val="24"/>
        </w:rPr>
        <w:t>See paragraph 6.58</w:t>
      </w:r>
    </w:p>
    <w:p w14:paraId="2D3E3579" w14:textId="77777777" w:rsidR="00D031FA" w:rsidRDefault="00D031FA" w:rsidP="00D031FA">
      <w:pPr>
        <w:spacing w:after="0" w:line="276" w:lineRule="auto"/>
        <w:jc w:val="both"/>
        <w:rPr>
          <w:b/>
          <w:color w:val="00B050"/>
          <w:sz w:val="24"/>
          <w:szCs w:val="24"/>
        </w:rPr>
      </w:pPr>
    </w:p>
    <w:p w14:paraId="46962139" w14:textId="77777777" w:rsidR="00D031FA" w:rsidRPr="000030A7" w:rsidRDefault="00D031FA" w:rsidP="00D031FA">
      <w:pPr>
        <w:spacing w:after="0" w:line="276" w:lineRule="auto"/>
        <w:jc w:val="both"/>
        <w:rPr>
          <w:b/>
          <w:color w:val="00B050"/>
          <w:sz w:val="24"/>
          <w:szCs w:val="24"/>
        </w:rPr>
      </w:pPr>
      <w:r w:rsidRPr="000030A7">
        <w:rPr>
          <w:b/>
          <w:color w:val="00B050"/>
          <w:sz w:val="24"/>
          <w:szCs w:val="24"/>
        </w:rPr>
        <w:t>SEA</w:t>
      </w:r>
      <w:r>
        <w:rPr>
          <w:b/>
          <w:color w:val="00B050"/>
          <w:sz w:val="24"/>
          <w:szCs w:val="24"/>
        </w:rPr>
        <w:t>18</w:t>
      </w:r>
      <w:r w:rsidRPr="000030A7">
        <w:rPr>
          <w:b/>
          <w:color w:val="00B050"/>
          <w:sz w:val="24"/>
          <w:szCs w:val="24"/>
        </w:rPr>
        <w:t xml:space="preserve"> Utility Infrastructure</w:t>
      </w:r>
    </w:p>
    <w:p w14:paraId="08856AE1" w14:textId="77777777" w:rsidR="00D031FA" w:rsidRPr="000030A7" w:rsidRDefault="00D031FA" w:rsidP="00D031FA">
      <w:pPr>
        <w:spacing w:after="0" w:line="276" w:lineRule="auto"/>
        <w:jc w:val="both"/>
        <w:rPr>
          <w:b/>
          <w:color w:val="00B050"/>
          <w:sz w:val="24"/>
          <w:szCs w:val="24"/>
        </w:rPr>
      </w:pPr>
    </w:p>
    <w:p w14:paraId="0161E966" w14:textId="77777777" w:rsidR="00D031FA" w:rsidRPr="000030A7" w:rsidRDefault="00D031FA" w:rsidP="00D031FA">
      <w:pPr>
        <w:spacing w:after="0" w:line="276" w:lineRule="auto"/>
        <w:jc w:val="both"/>
        <w:rPr>
          <w:b/>
          <w:color w:val="00B050"/>
          <w:sz w:val="24"/>
          <w:szCs w:val="24"/>
        </w:rPr>
      </w:pPr>
      <w:r w:rsidRPr="0071374A">
        <w:rPr>
          <w:b/>
          <w:color w:val="00B050"/>
          <w:sz w:val="24"/>
          <w:szCs w:val="24"/>
        </w:rPr>
        <w:t xml:space="preserve">The development of new and improved utility infrastructure that meets the needs of the community will be </w:t>
      </w:r>
      <w:proofErr w:type="gramStart"/>
      <w:r w:rsidRPr="0071374A">
        <w:rPr>
          <w:b/>
          <w:color w:val="00B050"/>
          <w:sz w:val="24"/>
          <w:szCs w:val="24"/>
        </w:rPr>
        <w:t>supported</w:t>
      </w:r>
      <w:r w:rsidRPr="000030A7">
        <w:rPr>
          <w:b/>
          <w:color w:val="00B050"/>
          <w:sz w:val="24"/>
          <w:szCs w:val="24"/>
        </w:rPr>
        <w:t>.</w:t>
      </w:r>
      <w:r>
        <w:rPr>
          <w:b/>
          <w:color w:val="00B050"/>
          <w:sz w:val="24"/>
          <w:szCs w:val="24"/>
        </w:rPr>
        <w:t>(</w:t>
      </w:r>
      <w:proofErr w:type="gramEnd"/>
      <w:r>
        <w:rPr>
          <w:b/>
          <w:color w:val="00B050"/>
          <w:sz w:val="24"/>
          <w:szCs w:val="24"/>
        </w:rPr>
        <w:t>See Paragraph 6.59)</w:t>
      </w:r>
    </w:p>
    <w:p w14:paraId="24438F40" w14:textId="77777777" w:rsidR="00D031FA" w:rsidRPr="000030A7" w:rsidRDefault="00D031FA" w:rsidP="00D031FA">
      <w:pPr>
        <w:spacing w:line="276" w:lineRule="auto"/>
        <w:rPr>
          <w:b/>
          <w:color w:val="C0504D" w:themeColor="accent2"/>
          <w:sz w:val="32"/>
          <w:szCs w:val="28"/>
        </w:rPr>
      </w:pPr>
    </w:p>
    <w:p w14:paraId="4EDB4FA2" w14:textId="77777777" w:rsidR="00D031FA" w:rsidRDefault="00D031FA" w:rsidP="00D031FA">
      <w:pPr>
        <w:spacing w:after="0" w:line="276" w:lineRule="auto"/>
        <w:jc w:val="both"/>
        <w:rPr>
          <w:b/>
          <w:color w:val="C0504D" w:themeColor="accent2"/>
          <w:sz w:val="32"/>
          <w:szCs w:val="28"/>
        </w:rPr>
      </w:pPr>
      <w:r w:rsidRPr="000030A7">
        <w:rPr>
          <w:b/>
          <w:color w:val="C0504D" w:themeColor="accent2"/>
          <w:sz w:val="32"/>
          <w:szCs w:val="28"/>
        </w:rPr>
        <w:t xml:space="preserve">Non-Statutory Community Aspirations  </w:t>
      </w:r>
    </w:p>
    <w:p w14:paraId="4E8AE6D6" w14:textId="77777777" w:rsidR="00D031FA" w:rsidRDefault="00D031FA" w:rsidP="00D031FA">
      <w:pPr>
        <w:spacing w:after="0" w:line="276" w:lineRule="auto"/>
        <w:jc w:val="both"/>
        <w:rPr>
          <w:b/>
          <w:color w:val="C0504D" w:themeColor="accent2"/>
          <w:sz w:val="32"/>
          <w:szCs w:val="28"/>
        </w:rPr>
      </w:pPr>
    </w:p>
    <w:p w14:paraId="41C66DF8" w14:textId="77777777" w:rsidR="00D031FA" w:rsidRPr="000030A7" w:rsidRDefault="00D031FA" w:rsidP="00D031FA">
      <w:pPr>
        <w:pStyle w:val="Default"/>
        <w:spacing w:line="276" w:lineRule="auto"/>
        <w:jc w:val="both"/>
        <w:rPr>
          <w:rFonts w:asciiTheme="minorHAnsi" w:hAnsiTheme="minorHAnsi"/>
          <w:b/>
          <w:color w:val="C0504D" w:themeColor="accent2"/>
        </w:rPr>
      </w:pPr>
      <w:r w:rsidRPr="000030A7">
        <w:rPr>
          <w:rFonts w:asciiTheme="minorHAnsi" w:hAnsiTheme="minorHAnsi"/>
          <w:b/>
          <w:color w:val="C0504D" w:themeColor="accent2"/>
        </w:rPr>
        <w:t>Community Aspiration 1 (Seafront and Tourism)</w:t>
      </w:r>
    </w:p>
    <w:p w14:paraId="74758ED8" w14:textId="77777777" w:rsidR="00D031FA" w:rsidRPr="000030A7" w:rsidRDefault="00D031FA" w:rsidP="00D031FA">
      <w:pPr>
        <w:pStyle w:val="Default"/>
        <w:spacing w:line="276" w:lineRule="auto"/>
        <w:jc w:val="both"/>
        <w:rPr>
          <w:rFonts w:asciiTheme="minorHAnsi" w:hAnsiTheme="minorHAnsi"/>
          <w:b/>
          <w:color w:val="C0504D" w:themeColor="accent2"/>
        </w:rPr>
      </w:pPr>
    </w:p>
    <w:p w14:paraId="5CF5E6CF" w14:textId="77777777" w:rsidR="00D031FA" w:rsidRPr="000030A7" w:rsidRDefault="00D031FA" w:rsidP="00D031FA">
      <w:pPr>
        <w:pStyle w:val="Default"/>
        <w:spacing w:line="276" w:lineRule="auto"/>
        <w:jc w:val="both"/>
        <w:rPr>
          <w:rFonts w:asciiTheme="minorHAnsi" w:hAnsiTheme="minorHAnsi"/>
          <w:b/>
          <w:color w:val="C0504D" w:themeColor="accent2"/>
        </w:rPr>
      </w:pPr>
      <w:r w:rsidRPr="000030A7">
        <w:rPr>
          <w:rFonts w:asciiTheme="minorHAnsi" w:hAnsiTheme="minorHAnsi"/>
          <w:b/>
          <w:color w:val="C0504D" w:themeColor="accent2"/>
        </w:rPr>
        <w:t>It is recommended that:</w:t>
      </w:r>
    </w:p>
    <w:p w14:paraId="60A4743B" w14:textId="77777777" w:rsidR="00D031FA" w:rsidRPr="000030A7" w:rsidRDefault="00D031FA" w:rsidP="00D031FA">
      <w:pPr>
        <w:pStyle w:val="Default"/>
        <w:numPr>
          <w:ilvl w:val="1"/>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 xml:space="preserve">Consideration is given to improving signage and access from the A259 to the Town Centre and Seafront and from the Seafront to the Town Centre as well as rationalising signage elsewhere. </w:t>
      </w:r>
    </w:p>
    <w:p w14:paraId="200BDDE4" w14:textId="77777777" w:rsidR="00D031FA" w:rsidRPr="000030A7" w:rsidRDefault="00D031FA" w:rsidP="00D031FA">
      <w:pPr>
        <w:pStyle w:val="Default"/>
        <w:numPr>
          <w:ilvl w:val="1"/>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Enhancing the town centre, such as with new light standards, Victorian shop front scheme, cobbled lanes, etc.</w:t>
      </w:r>
    </w:p>
    <w:p w14:paraId="024C413C" w14:textId="77777777" w:rsidR="00D031FA" w:rsidRPr="000030A7" w:rsidRDefault="00D031FA" w:rsidP="00D031FA">
      <w:pPr>
        <w:pStyle w:val="Default"/>
        <w:numPr>
          <w:ilvl w:val="1"/>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 xml:space="preserve">Wherever possible, any disturbance to wildlife and natural vegetation should be avoided; </w:t>
      </w:r>
    </w:p>
    <w:p w14:paraId="426F4043" w14:textId="77777777" w:rsidR="00D031FA" w:rsidRPr="000030A7" w:rsidRDefault="00D031FA" w:rsidP="00D031FA">
      <w:pPr>
        <w:pStyle w:val="Default"/>
        <w:numPr>
          <w:ilvl w:val="1"/>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There should be better maintenance of the paths and walls along the Seafront, as well as sensitive enhancement of the man-made features, such as benches, toilets, sea defence groynes and shelters;</w:t>
      </w:r>
    </w:p>
    <w:p w14:paraId="41011D4A" w14:textId="77777777" w:rsidR="00D031FA" w:rsidRPr="000030A7" w:rsidRDefault="00D031FA" w:rsidP="00D031FA">
      <w:pPr>
        <w:pStyle w:val="Default"/>
        <w:numPr>
          <w:ilvl w:val="1"/>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Lighting should be reviewed to ensure it as effective as possible, and at the same time reducing wherever possible any light pollution;</w:t>
      </w:r>
    </w:p>
    <w:p w14:paraId="62CD6D48" w14:textId="77777777" w:rsidR="00D031FA" w:rsidRPr="000030A7" w:rsidRDefault="00D031FA" w:rsidP="00D031FA">
      <w:pPr>
        <w:pStyle w:val="Default"/>
        <w:numPr>
          <w:ilvl w:val="1"/>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The “free parking” policy, for cars and motor cycles, on the Seafront, with a dedicated coach bay (with drop off point in the town centre) should be retained;</w:t>
      </w:r>
    </w:p>
    <w:p w14:paraId="7DE65558" w14:textId="77777777" w:rsidR="00D031FA" w:rsidRPr="000030A7" w:rsidRDefault="00D031FA" w:rsidP="00D031FA">
      <w:pPr>
        <w:pStyle w:val="Default"/>
        <w:numPr>
          <w:ilvl w:val="1"/>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 xml:space="preserve">Seaford Town Council and the South Downs National Park Authority should continue to work closely together to deliver a joint approach to better signage and fencing to the National Park from the Town, particularly within the Heritage Coast, and possibly associated tree planting and landscaping if deemed appropriate; </w:t>
      </w:r>
    </w:p>
    <w:p w14:paraId="08650A48" w14:textId="77777777" w:rsidR="00D031FA" w:rsidRPr="000030A7" w:rsidRDefault="00D031FA" w:rsidP="00D031FA">
      <w:pPr>
        <w:pStyle w:val="Default"/>
        <w:numPr>
          <w:ilvl w:val="1"/>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Impact Seaford and Seaford Town Council should take the lead in investigating the level and type of demand for accommodation for visitors to the town and consider the options for sites for such accommodation including:</w:t>
      </w:r>
    </w:p>
    <w:p w14:paraId="274822A2" w14:textId="77777777" w:rsidR="00D031FA" w:rsidRPr="000030A7" w:rsidRDefault="00D031FA" w:rsidP="00D031FA">
      <w:pPr>
        <w:pStyle w:val="Default"/>
        <w:numPr>
          <w:ilvl w:val="0"/>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The soon to be vacated GP surgeries sites in the town centre</w:t>
      </w:r>
    </w:p>
    <w:p w14:paraId="1565565A" w14:textId="77777777" w:rsidR="00D031FA" w:rsidRDefault="00D031FA" w:rsidP="00D031FA">
      <w:pPr>
        <w:pStyle w:val="Default"/>
        <w:numPr>
          <w:ilvl w:val="0"/>
          <w:numId w:val="6"/>
        </w:numPr>
        <w:spacing w:line="276" w:lineRule="auto"/>
        <w:ind w:left="357" w:hanging="357"/>
        <w:jc w:val="both"/>
        <w:rPr>
          <w:rFonts w:asciiTheme="minorHAnsi" w:hAnsiTheme="minorHAnsi"/>
          <w:b/>
          <w:color w:val="C0504D" w:themeColor="accent2"/>
        </w:rPr>
      </w:pPr>
      <w:r w:rsidRPr="000030A7">
        <w:rPr>
          <w:rFonts w:asciiTheme="minorHAnsi" w:hAnsiTheme="minorHAnsi"/>
          <w:b/>
          <w:color w:val="C0504D" w:themeColor="accent2"/>
        </w:rPr>
        <w:t>The site adjacent to the Seaford Head Golf Course which could accommodate chalets and pods for visitors</w:t>
      </w:r>
      <w:r>
        <w:rPr>
          <w:rFonts w:asciiTheme="minorHAnsi" w:hAnsiTheme="minorHAnsi"/>
          <w:b/>
          <w:color w:val="C0504D" w:themeColor="accent2"/>
        </w:rPr>
        <w:t xml:space="preserve"> (See paragraph 7.4)</w:t>
      </w:r>
    </w:p>
    <w:p w14:paraId="6BAE88B1" w14:textId="77777777" w:rsidR="00D031FA" w:rsidRDefault="00D031FA" w:rsidP="00D031FA">
      <w:pPr>
        <w:pStyle w:val="Default"/>
        <w:spacing w:line="276" w:lineRule="auto"/>
        <w:jc w:val="both"/>
        <w:rPr>
          <w:rFonts w:asciiTheme="minorHAnsi" w:hAnsiTheme="minorHAnsi"/>
          <w:b/>
          <w:color w:val="C0504D" w:themeColor="accent2"/>
        </w:rPr>
      </w:pPr>
    </w:p>
    <w:p w14:paraId="21BEF1E1" w14:textId="77777777" w:rsidR="00D031FA" w:rsidRPr="000030A7" w:rsidRDefault="00D031FA" w:rsidP="00D031FA">
      <w:pPr>
        <w:spacing w:after="0" w:line="276" w:lineRule="auto"/>
        <w:jc w:val="both"/>
        <w:rPr>
          <w:b/>
          <w:color w:val="C0504D" w:themeColor="accent2"/>
          <w:sz w:val="24"/>
          <w:szCs w:val="24"/>
        </w:rPr>
      </w:pPr>
      <w:r w:rsidRPr="000030A7">
        <w:rPr>
          <w:b/>
          <w:color w:val="C0504D" w:themeColor="accent2"/>
          <w:sz w:val="24"/>
          <w:szCs w:val="24"/>
        </w:rPr>
        <w:lastRenderedPageBreak/>
        <w:t>Community Aspiration 2 (Heritage Assets)</w:t>
      </w:r>
    </w:p>
    <w:p w14:paraId="3551F6B7" w14:textId="77777777" w:rsidR="00D031FA" w:rsidRPr="000030A7" w:rsidRDefault="00D031FA" w:rsidP="00D031FA">
      <w:pPr>
        <w:spacing w:after="0" w:line="276" w:lineRule="auto"/>
        <w:jc w:val="both"/>
        <w:rPr>
          <w:b/>
          <w:color w:val="C0504D" w:themeColor="accent2"/>
          <w:sz w:val="24"/>
          <w:szCs w:val="24"/>
        </w:rPr>
      </w:pPr>
    </w:p>
    <w:p w14:paraId="2472AA3E" w14:textId="77777777" w:rsidR="00D031FA" w:rsidRPr="000030A7" w:rsidRDefault="00D031FA" w:rsidP="00D031FA">
      <w:pPr>
        <w:spacing w:after="0" w:line="276" w:lineRule="auto"/>
        <w:jc w:val="both"/>
        <w:rPr>
          <w:b/>
          <w:color w:val="C0504D" w:themeColor="accent2"/>
          <w:sz w:val="24"/>
          <w:szCs w:val="24"/>
        </w:rPr>
      </w:pPr>
      <w:r w:rsidRPr="000030A7">
        <w:rPr>
          <w:b/>
          <w:color w:val="C0504D" w:themeColor="accent2"/>
          <w:sz w:val="24"/>
          <w:szCs w:val="24"/>
        </w:rPr>
        <w:t xml:space="preserve">It is recommended that: </w:t>
      </w:r>
    </w:p>
    <w:p w14:paraId="5DF9C53E" w14:textId="77777777" w:rsidR="00D031FA" w:rsidRPr="000030A7" w:rsidRDefault="00D031FA" w:rsidP="00D031FA">
      <w:pPr>
        <w:pStyle w:val="ListParagraph"/>
        <w:numPr>
          <w:ilvl w:val="1"/>
          <w:numId w:val="7"/>
        </w:numPr>
        <w:spacing w:after="0" w:line="276" w:lineRule="auto"/>
        <w:ind w:left="357" w:hanging="357"/>
        <w:jc w:val="both"/>
        <w:rPr>
          <w:b/>
          <w:color w:val="C0504D" w:themeColor="accent2"/>
          <w:sz w:val="24"/>
          <w:szCs w:val="24"/>
        </w:rPr>
      </w:pPr>
      <w:r w:rsidRPr="000030A7">
        <w:rPr>
          <w:b/>
          <w:color w:val="C0504D" w:themeColor="accent2"/>
          <w:sz w:val="24"/>
          <w:szCs w:val="24"/>
        </w:rPr>
        <w:t xml:space="preserve">Seaford Town Council works with the Seaford Museum and Heritage Society and Historic England to refresh the list of designated heritage assets, including adding Sutton Park Road War Memorial, </w:t>
      </w:r>
      <w:proofErr w:type="spellStart"/>
      <w:r w:rsidRPr="000030A7">
        <w:rPr>
          <w:b/>
          <w:color w:val="C0504D" w:themeColor="accent2"/>
          <w:sz w:val="24"/>
          <w:szCs w:val="24"/>
        </w:rPr>
        <w:t>Steyne</w:t>
      </w:r>
      <w:proofErr w:type="spellEnd"/>
      <w:r w:rsidRPr="000030A7">
        <w:rPr>
          <w:b/>
          <w:color w:val="C0504D" w:themeColor="accent2"/>
          <w:sz w:val="24"/>
          <w:szCs w:val="24"/>
        </w:rPr>
        <w:t xml:space="preserve"> Drinking Fountain, and Jubilee Gardens;</w:t>
      </w:r>
    </w:p>
    <w:p w14:paraId="5210C89E" w14:textId="77777777" w:rsidR="00D031FA" w:rsidRDefault="00D031FA" w:rsidP="00D031FA">
      <w:pPr>
        <w:pStyle w:val="ListParagraph"/>
        <w:numPr>
          <w:ilvl w:val="1"/>
          <w:numId w:val="7"/>
        </w:numPr>
        <w:spacing w:after="0" w:line="276" w:lineRule="auto"/>
        <w:ind w:left="357" w:hanging="357"/>
        <w:jc w:val="both"/>
        <w:rPr>
          <w:b/>
          <w:color w:val="C0504D" w:themeColor="accent2"/>
          <w:sz w:val="24"/>
          <w:szCs w:val="24"/>
        </w:rPr>
      </w:pPr>
      <w:r w:rsidRPr="000030A7">
        <w:rPr>
          <w:b/>
          <w:color w:val="C0504D" w:themeColor="accent2"/>
          <w:sz w:val="24"/>
          <w:szCs w:val="24"/>
        </w:rPr>
        <w:t>Seaford Town Council works with the above partners and the local planning authorities to draw up a list of non-designated ‘Locally Listed Buildings’.</w:t>
      </w:r>
      <w:r>
        <w:rPr>
          <w:b/>
          <w:color w:val="C0504D" w:themeColor="accent2"/>
          <w:sz w:val="24"/>
          <w:szCs w:val="24"/>
        </w:rPr>
        <w:t>(See paragraph 7.7)</w:t>
      </w:r>
    </w:p>
    <w:p w14:paraId="68ED4138" w14:textId="77777777" w:rsidR="00D031FA" w:rsidRDefault="00D031FA" w:rsidP="00D031FA">
      <w:pPr>
        <w:spacing w:after="0" w:line="276" w:lineRule="auto"/>
        <w:jc w:val="both"/>
        <w:rPr>
          <w:b/>
          <w:color w:val="C0504D" w:themeColor="accent2"/>
          <w:sz w:val="24"/>
          <w:szCs w:val="24"/>
        </w:rPr>
      </w:pPr>
    </w:p>
    <w:p w14:paraId="70EBE9CB" w14:textId="77777777" w:rsidR="00D031FA" w:rsidRPr="000030A7" w:rsidRDefault="00D031FA" w:rsidP="00D031FA">
      <w:pPr>
        <w:spacing w:after="0" w:line="276" w:lineRule="auto"/>
        <w:jc w:val="both"/>
        <w:rPr>
          <w:b/>
          <w:color w:val="C0504D" w:themeColor="accent2"/>
          <w:sz w:val="24"/>
          <w:szCs w:val="24"/>
        </w:rPr>
      </w:pPr>
      <w:r w:rsidRPr="000030A7">
        <w:rPr>
          <w:b/>
          <w:color w:val="C0504D" w:themeColor="accent2"/>
          <w:sz w:val="24"/>
          <w:szCs w:val="24"/>
        </w:rPr>
        <w:t>Community Aspiration 3 (Grass Verges)</w:t>
      </w:r>
    </w:p>
    <w:p w14:paraId="2574F288" w14:textId="77777777" w:rsidR="00D031FA" w:rsidRPr="000030A7" w:rsidRDefault="00D031FA" w:rsidP="00D031FA">
      <w:pPr>
        <w:spacing w:after="0" w:line="276" w:lineRule="auto"/>
        <w:jc w:val="both"/>
        <w:rPr>
          <w:b/>
          <w:color w:val="C0504D" w:themeColor="accent2"/>
          <w:sz w:val="24"/>
          <w:szCs w:val="24"/>
        </w:rPr>
      </w:pPr>
    </w:p>
    <w:p w14:paraId="12890089" w14:textId="77777777" w:rsidR="00D031FA" w:rsidRPr="000030A7" w:rsidRDefault="00D031FA" w:rsidP="00D031FA">
      <w:pPr>
        <w:spacing w:after="0" w:line="276" w:lineRule="auto"/>
        <w:jc w:val="both"/>
        <w:rPr>
          <w:b/>
          <w:color w:val="C0504D" w:themeColor="accent2"/>
          <w:sz w:val="24"/>
          <w:szCs w:val="24"/>
        </w:rPr>
      </w:pPr>
      <w:r w:rsidRPr="000030A7">
        <w:rPr>
          <w:b/>
          <w:color w:val="C0504D" w:themeColor="accent2"/>
          <w:sz w:val="24"/>
          <w:szCs w:val="24"/>
        </w:rPr>
        <w:t>It is recommended that:</w:t>
      </w:r>
    </w:p>
    <w:p w14:paraId="2CE632EE" w14:textId="77777777" w:rsidR="00D031FA" w:rsidRPr="000030A7" w:rsidRDefault="00D031FA" w:rsidP="00D031FA">
      <w:pPr>
        <w:pStyle w:val="ListParagraph"/>
        <w:numPr>
          <w:ilvl w:val="1"/>
          <w:numId w:val="8"/>
        </w:numPr>
        <w:spacing w:after="0" w:line="276" w:lineRule="auto"/>
        <w:ind w:left="357" w:hanging="357"/>
        <w:jc w:val="both"/>
        <w:rPr>
          <w:b/>
          <w:color w:val="C0504D" w:themeColor="accent2"/>
          <w:sz w:val="24"/>
          <w:szCs w:val="24"/>
        </w:rPr>
      </w:pPr>
      <w:r w:rsidRPr="000030A7">
        <w:rPr>
          <w:b/>
          <w:color w:val="C0504D" w:themeColor="accent2"/>
          <w:sz w:val="24"/>
          <w:szCs w:val="24"/>
        </w:rPr>
        <w:t>Further work be undertaken to understand which verges in Seaford are in the Wildlife Verge Scheme, or should be proposed for addition to the scheme, to ensure they are appropriately enhanced and preserved;</w:t>
      </w:r>
    </w:p>
    <w:p w14:paraId="163C9FEB" w14:textId="77777777" w:rsidR="00D031FA" w:rsidRPr="000030A7" w:rsidRDefault="00D031FA" w:rsidP="00D031FA">
      <w:pPr>
        <w:pStyle w:val="ListParagraph"/>
        <w:numPr>
          <w:ilvl w:val="1"/>
          <w:numId w:val="8"/>
        </w:numPr>
        <w:spacing w:after="0" w:line="276" w:lineRule="auto"/>
        <w:ind w:left="357" w:hanging="357"/>
        <w:jc w:val="both"/>
        <w:rPr>
          <w:b/>
          <w:color w:val="C0504D" w:themeColor="accent2"/>
          <w:sz w:val="24"/>
          <w:szCs w:val="24"/>
        </w:rPr>
      </w:pPr>
      <w:r w:rsidRPr="000030A7">
        <w:rPr>
          <w:b/>
          <w:color w:val="C0504D" w:themeColor="accent2"/>
          <w:sz w:val="24"/>
          <w:szCs w:val="24"/>
        </w:rPr>
        <w:t>Appropriate verges in Seaford should be put forward for consideration of reduced verge cutting to promote biodiversity (such discussions should include assessment of the</w:t>
      </w:r>
      <w:r w:rsidRPr="000030A7">
        <w:rPr>
          <w:b/>
          <w:sz w:val="24"/>
          <w:szCs w:val="24"/>
        </w:rPr>
        <w:t xml:space="preserve"> </w:t>
      </w:r>
      <w:r w:rsidRPr="000030A7">
        <w:rPr>
          <w:b/>
          <w:color w:val="C0504D" w:themeColor="accent2"/>
          <w:sz w:val="24"/>
          <w:szCs w:val="24"/>
        </w:rPr>
        <w:t>wider impact (such as, on wildlife, road safety issues and blocking of drains) of reducing the frequency of verge cutting, any pilot scheme should be well publicised; and</w:t>
      </w:r>
    </w:p>
    <w:p w14:paraId="2ECFAA7A" w14:textId="77777777" w:rsidR="00D031FA" w:rsidRDefault="00D031FA" w:rsidP="00D031FA">
      <w:pPr>
        <w:pStyle w:val="ListParagraph"/>
        <w:numPr>
          <w:ilvl w:val="1"/>
          <w:numId w:val="8"/>
        </w:numPr>
        <w:spacing w:after="0" w:line="276" w:lineRule="auto"/>
        <w:ind w:left="357" w:hanging="357"/>
        <w:jc w:val="both"/>
        <w:rPr>
          <w:b/>
          <w:color w:val="C0504D" w:themeColor="accent2"/>
          <w:sz w:val="24"/>
          <w:szCs w:val="24"/>
        </w:rPr>
      </w:pPr>
      <w:r w:rsidRPr="000030A7">
        <w:rPr>
          <w:b/>
          <w:color w:val="C0504D" w:themeColor="accent2"/>
          <w:sz w:val="24"/>
          <w:szCs w:val="24"/>
        </w:rPr>
        <w:t>Utility companies, in locating underground cables be encouraged to consider the impact of works on existing and proposed trees.</w:t>
      </w:r>
      <w:r>
        <w:rPr>
          <w:b/>
          <w:color w:val="C0504D" w:themeColor="accent2"/>
          <w:sz w:val="24"/>
          <w:szCs w:val="24"/>
        </w:rPr>
        <w:t>(See paragraph 7. 9 )</w:t>
      </w:r>
    </w:p>
    <w:p w14:paraId="6FCBD552" w14:textId="77777777" w:rsidR="00D031FA" w:rsidRDefault="00D031FA" w:rsidP="00D031FA">
      <w:pPr>
        <w:spacing w:after="0" w:line="276" w:lineRule="auto"/>
        <w:jc w:val="both"/>
        <w:rPr>
          <w:b/>
          <w:color w:val="C0504D" w:themeColor="accent2"/>
          <w:sz w:val="24"/>
          <w:szCs w:val="24"/>
        </w:rPr>
      </w:pPr>
    </w:p>
    <w:p w14:paraId="79C3A42B" w14:textId="77777777" w:rsidR="00D031FA" w:rsidRPr="000030A7" w:rsidRDefault="00D031FA" w:rsidP="00D031FA">
      <w:pPr>
        <w:spacing w:after="0" w:line="276" w:lineRule="auto"/>
        <w:jc w:val="both"/>
        <w:rPr>
          <w:b/>
          <w:color w:val="C0504D" w:themeColor="accent2"/>
          <w:sz w:val="24"/>
          <w:szCs w:val="24"/>
        </w:rPr>
      </w:pPr>
      <w:r w:rsidRPr="000030A7">
        <w:rPr>
          <w:b/>
          <w:color w:val="C0504D" w:themeColor="accent2"/>
          <w:sz w:val="24"/>
          <w:szCs w:val="24"/>
        </w:rPr>
        <w:t>Community Aspiration 4 (Climate Change and Flooding)</w:t>
      </w:r>
    </w:p>
    <w:p w14:paraId="617E0FB6" w14:textId="77777777" w:rsidR="00D031FA" w:rsidRPr="000030A7" w:rsidRDefault="00D031FA" w:rsidP="00D031FA">
      <w:pPr>
        <w:spacing w:after="0" w:line="276" w:lineRule="auto"/>
        <w:jc w:val="both"/>
        <w:rPr>
          <w:b/>
          <w:color w:val="C0504D" w:themeColor="accent2"/>
          <w:sz w:val="24"/>
          <w:szCs w:val="24"/>
        </w:rPr>
      </w:pPr>
    </w:p>
    <w:p w14:paraId="3C2DB054" w14:textId="77777777" w:rsidR="00D031FA" w:rsidRPr="000030A7" w:rsidRDefault="00D031FA" w:rsidP="00D031FA">
      <w:pPr>
        <w:spacing w:after="0" w:line="276" w:lineRule="auto"/>
        <w:jc w:val="both"/>
        <w:rPr>
          <w:b/>
          <w:color w:val="C0504D" w:themeColor="accent2"/>
          <w:sz w:val="24"/>
          <w:szCs w:val="24"/>
        </w:rPr>
      </w:pPr>
      <w:r w:rsidRPr="000030A7">
        <w:rPr>
          <w:b/>
          <w:color w:val="C0504D" w:themeColor="accent2"/>
          <w:sz w:val="24"/>
          <w:szCs w:val="24"/>
        </w:rPr>
        <w:t>It is recommended that</w:t>
      </w:r>
      <w:r>
        <w:rPr>
          <w:b/>
          <w:color w:val="C0504D" w:themeColor="accent2"/>
          <w:sz w:val="24"/>
          <w:szCs w:val="24"/>
        </w:rPr>
        <w:t>:</w:t>
      </w:r>
      <w:r w:rsidRPr="000030A7">
        <w:rPr>
          <w:b/>
          <w:color w:val="C0504D" w:themeColor="accent2"/>
          <w:sz w:val="24"/>
          <w:szCs w:val="24"/>
        </w:rPr>
        <w:t xml:space="preserve"> </w:t>
      </w:r>
    </w:p>
    <w:p w14:paraId="3FD25FFB" w14:textId="77777777" w:rsidR="00D031FA" w:rsidRPr="000030A7" w:rsidRDefault="00D031FA" w:rsidP="00D031FA">
      <w:pPr>
        <w:pStyle w:val="ListParagraph"/>
        <w:numPr>
          <w:ilvl w:val="0"/>
          <w:numId w:val="9"/>
        </w:numPr>
        <w:spacing w:after="0" w:line="276" w:lineRule="auto"/>
        <w:ind w:left="357" w:hanging="357"/>
        <w:jc w:val="both"/>
      </w:pPr>
      <w:r w:rsidRPr="000030A7">
        <w:rPr>
          <w:b/>
          <w:color w:val="C0504D" w:themeColor="accent2"/>
          <w:sz w:val="24"/>
          <w:szCs w:val="24"/>
        </w:rPr>
        <w:t>the Flood Action Group and the Beach User Group should continue to meet regularly with the Environment Agency and be consulted on future flood defence strategy as well as on more day to day issues (such as flash flooding).</w:t>
      </w:r>
      <w:r w:rsidRPr="000030A7">
        <w:t xml:space="preserve"> </w:t>
      </w:r>
    </w:p>
    <w:p w14:paraId="04B8F562" w14:textId="77777777" w:rsidR="00D031FA" w:rsidRDefault="00D031FA" w:rsidP="00D031FA">
      <w:pPr>
        <w:pStyle w:val="ListParagraph"/>
        <w:numPr>
          <w:ilvl w:val="0"/>
          <w:numId w:val="9"/>
        </w:numPr>
        <w:spacing w:after="0" w:line="276" w:lineRule="auto"/>
        <w:ind w:left="357" w:hanging="357"/>
        <w:jc w:val="both"/>
        <w:rPr>
          <w:b/>
          <w:color w:val="C0504D" w:themeColor="accent2"/>
          <w:sz w:val="24"/>
          <w:szCs w:val="24"/>
        </w:rPr>
      </w:pPr>
      <w:r w:rsidRPr="001D5137">
        <w:rPr>
          <w:b/>
          <w:color w:val="C0504D" w:themeColor="accent2"/>
          <w:sz w:val="24"/>
          <w:szCs w:val="24"/>
        </w:rPr>
        <w:t>When appropriate the South Downs National Park Authority (SDNPA) should be consulted on any future flood defence strategy given the impact this can have on the natural appearance of the Heritage Coast.  (See paragraph 7.14)</w:t>
      </w:r>
    </w:p>
    <w:p w14:paraId="46AA51DF" w14:textId="77777777" w:rsidR="001D5137" w:rsidRDefault="001D5137" w:rsidP="001D5137">
      <w:pPr>
        <w:spacing w:after="0" w:line="276" w:lineRule="auto"/>
        <w:jc w:val="both"/>
        <w:rPr>
          <w:b/>
          <w:color w:val="C0504D" w:themeColor="accent2"/>
          <w:sz w:val="24"/>
          <w:szCs w:val="24"/>
        </w:rPr>
      </w:pPr>
    </w:p>
    <w:p w14:paraId="0F13A45E" w14:textId="77777777" w:rsidR="001D5137" w:rsidRPr="000030A7" w:rsidRDefault="001D5137" w:rsidP="001D5137">
      <w:pPr>
        <w:spacing w:after="0" w:line="276" w:lineRule="auto"/>
        <w:jc w:val="both"/>
        <w:outlineLvl w:val="0"/>
        <w:rPr>
          <w:b/>
          <w:color w:val="C0504D" w:themeColor="accent2"/>
          <w:sz w:val="24"/>
          <w:szCs w:val="24"/>
        </w:rPr>
      </w:pPr>
      <w:r w:rsidRPr="000030A7">
        <w:rPr>
          <w:b/>
          <w:color w:val="C0504D" w:themeColor="accent2"/>
          <w:sz w:val="24"/>
          <w:szCs w:val="24"/>
        </w:rPr>
        <w:t>Community Aspiration 5 (Infrastructure)</w:t>
      </w:r>
    </w:p>
    <w:p w14:paraId="7F956124" w14:textId="77777777" w:rsidR="001D5137" w:rsidRPr="000030A7" w:rsidRDefault="001D5137" w:rsidP="001D5137">
      <w:pPr>
        <w:spacing w:after="0" w:line="276" w:lineRule="auto"/>
        <w:jc w:val="both"/>
        <w:outlineLvl w:val="0"/>
        <w:rPr>
          <w:b/>
          <w:color w:val="C0504D" w:themeColor="accent2"/>
          <w:sz w:val="24"/>
          <w:szCs w:val="24"/>
        </w:rPr>
      </w:pPr>
    </w:p>
    <w:p w14:paraId="20BCAEB9" w14:textId="77777777" w:rsidR="001D5137" w:rsidRDefault="001D5137" w:rsidP="001D5137">
      <w:pPr>
        <w:spacing w:after="0" w:line="276" w:lineRule="auto"/>
        <w:jc w:val="both"/>
        <w:outlineLvl w:val="0"/>
        <w:rPr>
          <w:b/>
          <w:color w:val="C0504D" w:themeColor="accent2"/>
          <w:sz w:val="24"/>
          <w:szCs w:val="24"/>
        </w:rPr>
      </w:pPr>
      <w:r w:rsidRPr="000030A7">
        <w:rPr>
          <w:b/>
          <w:color w:val="C0504D" w:themeColor="accent2"/>
          <w:sz w:val="24"/>
          <w:szCs w:val="24"/>
        </w:rPr>
        <w:t>It is recommended that priority must be given to ensuring that any future developments in the Town are accompanied by a commensurate increase in resources for patient care and education; and this should be a core priority of all relevant Authorities.</w:t>
      </w:r>
      <w:r>
        <w:rPr>
          <w:b/>
          <w:color w:val="C0504D" w:themeColor="accent2"/>
          <w:sz w:val="24"/>
          <w:szCs w:val="24"/>
        </w:rPr>
        <w:t xml:space="preserve"> (See paragraph 7.15)</w:t>
      </w:r>
    </w:p>
    <w:p w14:paraId="0187A070" w14:textId="77777777" w:rsidR="001D5137" w:rsidRDefault="001D5137" w:rsidP="001D5137">
      <w:pPr>
        <w:spacing w:after="0" w:line="276" w:lineRule="auto"/>
        <w:jc w:val="both"/>
        <w:outlineLvl w:val="0"/>
        <w:rPr>
          <w:b/>
          <w:color w:val="C0504D" w:themeColor="accent2"/>
          <w:sz w:val="24"/>
          <w:szCs w:val="24"/>
        </w:rPr>
      </w:pPr>
    </w:p>
    <w:p w14:paraId="4B22A920" w14:textId="77777777" w:rsidR="001D5137" w:rsidRPr="000030A7" w:rsidRDefault="001D5137" w:rsidP="001D5137">
      <w:pPr>
        <w:spacing w:after="0" w:line="276" w:lineRule="auto"/>
        <w:jc w:val="both"/>
        <w:outlineLvl w:val="0"/>
        <w:rPr>
          <w:b/>
          <w:color w:val="C0504D" w:themeColor="accent2"/>
          <w:sz w:val="24"/>
          <w:szCs w:val="24"/>
        </w:rPr>
      </w:pPr>
      <w:r w:rsidRPr="000030A7">
        <w:rPr>
          <w:b/>
          <w:color w:val="C0504D" w:themeColor="accent2"/>
          <w:sz w:val="24"/>
          <w:szCs w:val="24"/>
        </w:rPr>
        <w:lastRenderedPageBreak/>
        <w:t>Community Aspiration 6 (Services for young people)</w:t>
      </w:r>
    </w:p>
    <w:p w14:paraId="0BBF1290" w14:textId="77777777" w:rsidR="001D5137" w:rsidRPr="000030A7" w:rsidRDefault="001D5137" w:rsidP="001D5137">
      <w:pPr>
        <w:spacing w:after="0" w:line="276" w:lineRule="auto"/>
        <w:jc w:val="both"/>
        <w:outlineLvl w:val="0"/>
        <w:rPr>
          <w:b/>
          <w:color w:val="C0504D" w:themeColor="accent2"/>
          <w:sz w:val="24"/>
          <w:szCs w:val="24"/>
        </w:rPr>
      </w:pPr>
    </w:p>
    <w:p w14:paraId="3C37C666" w14:textId="77777777" w:rsidR="001D5137" w:rsidRPr="000030A7" w:rsidRDefault="001D5137" w:rsidP="001D5137">
      <w:pPr>
        <w:spacing w:after="0" w:line="276" w:lineRule="auto"/>
        <w:jc w:val="both"/>
        <w:outlineLvl w:val="0"/>
        <w:rPr>
          <w:b/>
          <w:color w:val="C0504D" w:themeColor="accent2"/>
          <w:sz w:val="24"/>
          <w:szCs w:val="24"/>
        </w:rPr>
      </w:pPr>
      <w:r w:rsidRPr="000030A7">
        <w:rPr>
          <w:b/>
          <w:color w:val="C0504D" w:themeColor="accent2"/>
          <w:sz w:val="24"/>
          <w:szCs w:val="24"/>
        </w:rPr>
        <w:t>It is recommended that:</w:t>
      </w:r>
    </w:p>
    <w:p w14:paraId="42C317B6" w14:textId="77777777" w:rsidR="001D5137" w:rsidRPr="000030A7" w:rsidRDefault="001D5137" w:rsidP="001D5137">
      <w:pPr>
        <w:pStyle w:val="ListParagraph"/>
        <w:numPr>
          <w:ilvl w:val="1"/>
          <w:numId w:val="10"/>
        </w:numPr>
        <w:spacing w:after="0" w:line="276" w:lineRule="auto"/>
        <w:ind w:left="357" w:hanging="357"/>
        <w:jc w:val="both"/>
        <w:outlineLvl w:val="0"/>
        <w:rPr>
          <w:b/>
          <w:color w:val="C0504D" w:themeColor="accent2"/>
          <w:sz w:val="24"/>
          <w:szCs w:val="24"/>
        </w:rPr>
      </w:pPr>
      <w:r w:rsidRPr="000030A7">
        <w:rPr>
          <w:b/>
          <w:color w:val="C0504D" w:themeColor="accent2"/>
          <w:sz w:val="24"/>
          <w:szCs w:val="24"/>
        </w:rPr>
        <w:t xml:space="preserve">The provision of services (and facilities) for the young receive a high priority to attract young people to the Town; </w:t>
      </w:r>
    </w:p>
    <w:p w14:paraId="51718718" w14:textId="77777777" w:rsidR="001D5137" w:rsidRPr="000030A7" w:rsidRDefault="001D5137" w:rsidP="001D5137">
      <w:pPr>
        <w:pStyle w:val="ListParagraph"/>
        <w:numPr>
          <w:ilvl w:val="1"/>
          <w:numId w:val="10"/>
        </w:numPr>
        <w:spacing w:after="0" w:line="276" w:lineRule="auto"/>
        <w:ind w:left="357" w:hanging="357"/>
        <w:jc w:val="both"/>
        <w:outlineLvl w:val="0"/>
        <w:rPr>
          <w:b/>
          <w:color w:val="C0504D" w:themeColor="accent2"/>
          <w:sz w:val="24"/>
          <w:szCs w:val="24"/>
        </w:rPr>
      </w:pPr>
      <w:r w:rsidRPr="000030A7">
        <w:rPr>
          <w:b/>
          <w:color w:val="C0504D" w:themeColor="accent2"/>
          <w:sz w:val="24"/>
          <w:szCs w:val="24"/>
        </w:rPr>
        <w:t>The provision of a café style facility for young people be explored;</w:t>
      </w:r>
    </w:p>
    <w:p w14:paraId="0B5885BA" w14:textId="77777777" w:rsidR="001D5137" w:rsidRPr="000030A7" w:rsidRDefault="001D5137" w:rsidP="001D5137">
      <w:pPr>
        <w:pStyle w:val="ListParagraph"/>
        <w:numPr>
          <w:ilvl w:val="1"/>
          <w:numId w:val="10"/>
        </w:numPr>
        <w:spacing w:after="0" w:line="276" w:lineRule="auto"/>
        <w:ind w:left="357" w:hanging="357"/>
        <w:jc w:val="both"/>
        <w:outlineLvl w:val="0"/>
        <w:rPr>
          <w:b/>
          <w:color w:val="C0504D" w:themeColor="accent2"/>
          <w:sz w:val="24"/>
          <w:szCs w:val="24"/>
        </w:rPr>
      </w:pPr>
      <w:r w:rsidRPr="000030A7">
        <w:rPr>
          <w:b/>
          <w:color w:val="C0504D" w:themeColor="accent2"/>
          <w:sz w:val="24"/>
          <w:szCs w:val="24"/>
        </w:rPr>
        <w:t>Existing recreation space be maintained and enhanced with facilities such as a BMX track.</w:t>
      </w:r>
    </w:p>
    <w:p w14:paraId="5E0EFA86" w14:textId="77777777" w:rsidR="001D5137" w:rsidRDefault="001D5137" w:rsidP="001D5137">
      <w:pPr>
        <w:pStyle w:val="ListParagraph"/>
        <w:numPr>
          <w:ilvl w:val="1"/>
          <w:numId w:val="10"/>
        </w:numPr>
        <w:spacing w:after="0" w:line="276" w:lineRule="auto"/>
        <w:ind w:left="357" w:hanging="357"/>
        <w:jc w:val="both"/>
        <w:outlineLvl w:val="0"/>
        <w:rPr>
          <w:b/>
          <w:color w:val="C0504D" w:themeColor="accent2"/>
          <w:sz w:val="24"/>
          <w:szCs w:val="24"/>
        </w:rPr>
      </w:pPr>
      <w:r w:rsidRPr="000030A7">
        <w:rPr>
          <w:b/>
          <w:color w:val="C0504D" w:themeColor="accent2"/>
          <w:sz w:val="24"/>
          <w:szCs w:val="24"/>
        </w:rPr>
        <w:t>Lewes District Council to carry out a playing pitch strategy with a view to working with Seaford Town Council to ensure adequate facilities are provided to all parts of the Town.</w:t>
      </w:r>
      <w:r>
        <w:rPr>
          <w:b/>
          <w:color w:val="C0504D" w:themeColor="accent2"/>
          <w:sz w:val="24"/>
          <w:szCs w:val="24"/>
        </w:rPr>
        <w:t xml:space="preserve"> (See paragraph 7.16)</w:t>
      </w:r>
    </w:p>
    <w:p w14:paraId="7FADCB3B" w14:textId="77777777" w:rsidR="001D5137" w:rsidRDefault="001D5137" w:rsidP="001D5137">
      <w:pPr>
        <w:spacing w:after="0" w:line="276" w:lineRule="auto"/>
        <w:jc w:val="both"/>
        <w:outlineLvl w:val="0"/>
        <w:rPr>
          <w:b/>
          <w:color w:val="C0504D" w:themeColor="accent2"/>
          <w:sz w:val="24"/>
          <w:szCs w:val="24"/>
        </w:rPr>
      </w:pPr>
    </w:p>
    <w:p w14:paraId="495A8D7F" w14:textId="77777777" w:rsidR="001D5137" w:rsidRPr="000030A7" w:rsidRDefault="001D5137" w:rsidP="001D5137">
      <w:pPr>
        <w:spacing w:after="0" w:line="276" w:lineRule="auto"/>
        <w:jc w:val="both"/>
        <w:rPr>
          <w:b/>
          <w:color w:val="C0504D" w:themeColor="accent2"/>
          <w:sz w:val="24"/>
          <w:szCs w:val="24"/>
        </w:rPr>
      </w:pPr>
      <w:r w:rsidRPr="000030A7">
        <w:rPr>
          <w:b/>
          <w:color w:val="C0504D" w:themeColor="accent2"/>
          <w:sz w:val="24"/>
          <w:szCs w:val="24"/>
        </w:rPr>
        <w:t>Community Aspiration 7 (Policing)</w:t>
      </w:r>
    </w:p>
    <w:p w14:paraId="31F30CBE" w14:textId="77777777" w:rsidR="001D5137" w:rsidRPr="000030A7" w:rsidRDefault="001D5137" w:rsidP="001D5137">
      <w:pPr>
        <w:spacing w:after="0" w:line="276" w:lineRule="auto"/>
        <w:jc w:val="both"/>
        <w:rPr>
          <w:b/>
          <w:color w:val="C0504D" w:themeColor="accent2"/>
          <w:sz w:val="24"/>
          <w:szCs w:val="24"/>
        </w:rPr>
      </w:pPr>
    </w:p>
    <w:p w14:paraId="543C9310" w14:textId="77777777" w:rsidR="001D5137" w:rsidRDefault="001D5137" w:rsidP="001D5137">
      <w:pPr>
        <w:spacing w:after="0" w:line="276" w:lineRule="auto"/>
        <w:jc w:val="both"/>
        <w:rPr>
          <w:b/>
          <w:color w:val="C0504D" w:themeColor="accent2"/>
          <w:sz w:val="24"/>
          <w:szCs w:val="24"/>
        </w:rPr>
      </w:pPr>
      <w:r w:rsidRPr="000030A7">
        <w:rPr>
          <w:b/>
          <w:color w:val="C0504D" w:themeColor="accent2"/>
          <w:sz w:val="24"/>
          <w:szCs w:val="24"/>
        </w:rPr>
        <w:t xml:space="preserve">It is recommended that policing in Seaford continues to be monitored closely to ensure that as the population increases the policing of the Town remains adequate.  </w:t>
      </w:r>
      <w:r>
        <w:rPr>
          <w:b/>
          <w:color w:val="C0504D" w:themeColor="accent2"/>
          <w:sz w:val="24"/>
          <w:szCs w:val="24"/>
        </w:rPr>
        <w:t>(See paragraph 7.18)</w:t>
      </w:r>
    </w:p>
    <w:p w14:paraId="32E2B5F0" w14:textId="77777777" w:rsidR="001D5137" w:rsidRDefault="001D5137" w:rsidP="001D5137">
      <w:pPr>
        <w:spacing w:after="0" w:line="276" w:lineRule="auto"/>
        <w:jc w:val="both"/>
        <w:rPr>
          <w:b/>
          <w:color w:val="C0504D" w:themeColor="accent2"/>
          <w:sz w:val="24"/>
          <w:szCs w:val="24"/>
        </w:rPr>
      </w:pPr>
    </w:p>
    <w:p w14:paraId="3E6A8BF5" w14:textId="77777777" w:rsidR="001D5137" w:rsidRPr="000030A7" w:rsidRDefault="001D5137" w:rsidP="001D5137">
      <w:pPr>
        <w:spacing w:after="0" w:line="276" w:lineRule="auto"/>
        <w:jc w:val="both"/>
        <w:outlineLvl w:val="0"/>
        <w:rPr>
          <w:b/>
          <w:color w:val="C0504D" w:themeColor="accent2"/>
          <w:sz w:val="24"/>
          <w:szCs w:val="24"/>
        </w:rPr>
      </w:pPr>
      <w:r w:rsidRPr="000030A7">
        <w:rPr>
          <w:b/>
          <w:color w:val="C0504D" w:themeColor="accent2"/>
          <w:sz w:val="24"/>
          <w:szCs w:val="24"/>
        </w:rPr>
        <w:t>Community Aspiration 8 (Recycling)</w:t>
      </w:r>
    </w:p>
    <w:p w14:paraId="188812B1" w14:textId="77777777" w:rsidR="001D5137" w:rsidRPr="000030A7" w:rsidRDefault="001D5137" w:rsidP="001D5137">
      <w:pPr>
        <w:spacing w:after="0" w:line="276" w:lineRule="auto"/>
        <w:jc w:val="both"/>
        <w:outlineLvl w:val="0"/>
        <w:rPr>
          <w:b/>
          <w:color w:val="C0504D" w:themeColor="accent2"/>
          <w:sz w:val="24"/>
          <w:szCs w:val="24"/>
        </w:rPr>
      </w:pPr>
    </w:p>
    <w:p w14:paraId="3741DE3A" w14:textId="77777777" w:rsidR="001D5137" w:rsidRPr="000030A7" w:rsidRDefault="001D5137" w:rsidP="001D5137">
      <w:pPr>
        <w:spacing w:after="0" w:line="276" w:lineRule="auto"/>
        <w:jc w:val="both"/>
        <w:outlineLvl w:val="0"/>
        <w:rPr>
          <w:b/>
          <w:color w:val="C0504D" w:themeColor="accent2"/>
          <w:sz w:val="24"/>
          <w:szCs w:val="24"/>
        </w:rPr>
      </w:pPr>
      <w:r w:rsidRPr="000030A7">
        <w:rPr>
          <w:b/>
          <w:color w:val="C0504D" w:themeColor="accent2"/>
          <w:sz w:val="24"/>
          <w:szCs w:val="24"/>
        </w:rPr>
        <w:t>It is recommended that:</w:t>
      </w:r>
    </w:p>
    <w:p w14:paraId="74F72D4F" w14:textId="77777777" w:rsidR="001D5137" w:rsidRPr="000030A7" w:rsidRDefault="001D5137" w:rsidP="001D5137">
      <w:pPr>
        <w:pStyle w:val="ListParagraph"/>
        <w:numPr>
          <w:ilvl w:val="1"/>
          <w:numId w:val="11"/>
        </w:numPr>
        <w:spacing w:after="0" w:line="276" w:lineRule="auto"/>
        <w:ind w:left="357" w:hanging="357"/>
        <w:jc w:val="both"/>
        <w:outlineLvl w:val="0"/>
        <w:rPr>
          <w:b/>
          <w:color w:val="C0504D" w:themeColor="accent2"/>
          <w:sz w:val="24"/>
          <w:szCs w:val="24"/>
        </w:rPr>
      </w:pPr>
      <w:r>
        <w:rPr>
          <w:b/>
          <w:color w:val="C0504D" w:themeColor="accent2"/>
          <w:sz w:val="24"/>
          <w:szCs w:val="24"/>
        </w:rPr>
        <w:t>L</w:t>
      </w:r>
      <w:r w:rsidRPr="000030A7">
        <w:rPr>
          <w:b/>
          <w:color w:val="C0504D" w:themeColor="accent2"/>
          <w:sz w:val="24"/>
          <w:szCs w:val="24"/>
        </w:rPr>
        <w:t>DC investigates the potential for correcting the lack of recycling facilities on the seafront and north of the Town and considers the following locations for recycling points:</w:t>
      </w:r>
    </w:p>
    <w:p w14:paraId="49923286" w14:textId="77777777" w:rsidR="001D5137" w:rsidRPr="000030A7" w:rsidRDefault="001D5137" w:rsidP="001D5137">
      <w:pPr>
        <w:pStyle w:val="ListParagraph"/>
        <w:numPr>
          <w:ilvl w:val="1"/>
          <w:numId w:val="12"/>
        </w:numPr>
        <w:spacing w:after="0" w:line="276" w:lineRule="auto"/>
        <w:jc w:val="both"/>
        <w:outlineLvl w:val="0"/>
        <w:rPr>
          <w:b/>
          <w:color w:val="C0504D" w:themeColor="accent2"/>
          <w:sz w:val="24"/>
          <w:szCs w:val="24"/>
        </w:rPr>
      </w:pPr>
      <w:r w:rsidRPr="000030A7">
        <w:rPr>
          <w:b/>
          <w:color w:val="C0504D" w:themeColor="accent2"/>
          <w:sz w:val="24"/>
          <w:szCs w:val="24"/>
        </w:rPr>
        <w:t>Princess Drive</w:t>
      </w:r>
    </w:p>
    <w:p w14:paraId="08A91E38" w14:textId="77777777" w:rsidR="001D5137" w:rsidRPr="000030A7" w:rsidRDefault="001D5137" w:rsidP="001D5137">
      <w:pPr>
        <w:pStyle w:val="ListParagraph"/>
        <w:numPr>
          <w:ilvl w:val="1"/>
          <w:numId w:val="12"/>
        </w:numPr>
        <w:spacing w:after="0" w:line="276" w:lineRule="auto"/>
        <w:jc w:val="both"/>
        <w:outlineLvl w:val="0"/>
        <w:rPr>
          <w:b/>
          <w:color w:val="C0504D" w:themeColor="accent2"/>
          <w:sz w:val="24"/>
          <w:szCs w:val="24"/>
        </w:rPr>
      </w:pPr>
      <w:r w:rsidRPr="000030A7">
        <w:rPr>
          <w:b/>
          <w:color w:val="C0504D" w:themeColor="accent2"/>
          <w:sz w:val="24"/>
          <w:szCs w:val="24"/>
        </w:rPr>
        <w:t>Area where Blatchington Rd meets Avondale Rd;</w:t>
      </w:r>
    </w:p>
    <w:p w14:paraId="5AF8EE28" w14:textId="77777777" w:rsidR="001D5137" w:rsidRPr="000030A7" w:rsidRDefault="001D5137" w:rsidP="001D5137">
      <w:pPr>
        <w:pStyle w:val="ListParagraph"/>
        <w:numPr>
          <w:ilvl w:val="1"/>
          <w:numId w:val="12"/>
        </w:numPr>
        <w:spacing w:after="0" w:line="276" w:lineRule="auto"/>
        <w:jc w:val="both"/>
        <w:outlineLvl w:val="0"/>
        <w:rPr>
          <w:b/>
          <w:color w:val="C0504D" w:themeColor="accent2"/>
          <w:sz w:val="24"/>
          <w:szCs w:val="24"/>
        </w:rPr>
      </w:pPr>
      <w:proofErr w:type="spellStart"/>
      <w:r w:rsidRPr="000030A7">
        <w:rPr>
          <w:b/>
          <w:color w:val="C0504D" w:themeColor="accent2"/>
          <w:sz w:val="24"/>
          <w:szCs w:val="24"/>
        </w:rPr>
        <w:t>Walmer</w:t>
      </w:r>
      <w:proofErr w:type="spellEnd"/>
      <w:r w:rsidRPr="000030A7">
        <w:rPr>
          <w:b/>
          <w:color w:val="C0504D" w:themeColor="accent2"/>
          <w:sz w:val="24"/>
          <w:szCs w:val="24"/>
        </w:rPr>
        <w:t xml:space="preserve"> Road</w:t>
      </w:r>
    </w:p>
    <w:p w14:paraId="1AD56DFE" w14:textId="77777777" w:rsidR="001D5137" w:rsidRPr="000030A7" w:rsidRDefault="001D5137" w:rsidP="001D5137">
      <w:pPr>
        <w:pStyle w:val="ListParagraph"/>
        <w:numPr>
          <w:ilvl w:val="1"/>
          <w:numId w:val="12"/>
        </w:numPr>
        <w:spacing w:after="0" w:line="276" w:lineRule="auto"/>
        <w:jc w:val="both"/>
        <w:outlineLvl w:val="0"/>
        <w:rPr>
          <w:b/>
          <w:color w:val="C0504D" w:themeColor="accent2"/>
          <w:sz w:val="24"/>
          <w:szCs w:val="24"/>
        </w:rPr>
      </w:pPr>
      <w:proofErr w:type="spellStart"/>
      <w:r w:rsidRPr="000030A7">
        <w:rPr>
          <w:b/>
          <w:color w:val="C0504D" w:themeColor="accent2"/>
          <w:sz w:val="24"/>
          <w:szCs w:val="24"/>
        </w:rPr>
        <w:t>Micklefield</w:t>
      </w:r>
      <w:proofErr w:type="spellEnd"/>
      <w:r w:rsidRPr="000030A7">
        <w:rPr>
          <w:b/>
          <w:color w:val="C0504D" w:themeColor="accent2"/>
          <w:sz w:val="24"/>
          <w:szCs w:val="24"/>
        </w:rPr>
        <w:t xml:space="preserve"> Way</w:t>
      </w:r>
    </w:p>
    <w:p w14:paraId="08E96D9D" w14:textId="77777777" w:rsidR="001D5137" w:rsidRPr="000030A7" w:rsidRDefault="001D5137" w:rsidP="001D5137">
      <w:pPr>
        <w:pStyle w:val="ListParagraph"/>
        <w:numPr>
          <w:ilvl w:val="1"/>
          <w:numId w:val="11"/>
        </w:numPr>
        <w:spacing w:after="0" w:line="276" w:lineRule="auto"/>
        <w:ind w:left="357" w:hanging="357"/>
        <w:jc w:val="both"/>
        <w:outlineLvl w:val="0"/>
        <w:rPr>
          <w:b/>
          <w:color w:val="C0504D" w:themeColor="accent2"/>
          <w:sz w:val="24"/>
          <w:szCs w:val="24"/>
        </w:rPr>
      </w:pPr>
      <w:r w:rsidRPr="000030A7">
        <w:rPr>
          <w:b/>
          <w:color w:val="C0504D" w:themeColor="accent2"/>
          <w:sz w:val="24"/>
          <w:szCs w:val="24"/>
        </w:rPr>
        <w:t>Lewes DC considers providing additional facilities for recycling cardboard; and</w:t>
      </w:r>
    </w:p>
    <w:p w14:paraId="7E1EC652" w14:textId="77777777" w:rsidR="001D5137" w:rsidRDefault="001D5137" w:rsidP="001D5137">
      <w:pPr>
        <w:pStyle w:val="ListParagraph"/>
        <w:numPr>
          <w:ilvl w:val="1"/>
          <w:numId w:val="11"/>
        </w:numPr>
        <w:spacing w:after="0" w:line="276" w:lineRule="auto"/>
        <w:ind w:left="357" w:hanging="357"/>
        <w:jc w:val="both"/>
        <w:outlineLvl w:val="0"/>
        <w:rPr>
          <w:b/>
          <w:color w:val="C0504D" w:themeColor="accent2"/>
          <w:sz w:val="24"/>
          <w:szCs w:val="24"/>
        </w:rPr>
      </w:pPr>
      <w:r w:rsidRPr="000030A7">
        <w:rPr>
          <w:b/>
          <w:color w:val="C0504D" w:themeColor="accent2"/>
          <w:sz w:val="24"/>
          <w:szCs w:val="24"/>
        </w:rPr>
        <w:t>Lewes DC continues to consult with the community on its Waste Strategy.</w:t>
      </w:r>
      <w:r>
        <w:rPr>
          <w:b/>
          <w:color w:val="C0504D" w:themeColor="accent2"/>
          <w:sz w:val="24"/>
          <w:szCs w:val="24"/>
        </w:rPr>
        <w:t>(See paragraph 7.20)</w:t>
      </w:r>
    </w:p>
    <w:p w14:paraId="7DAB3105" w14:textId="77777777" w:rsidR="001D5137" w:rsidRDefault="001D5137" w:rsidP="001D5137">
      <w:pPr>
        <w:spacing w:after="0" w:line="276" w:lineRule="auto"/>
        <w:jc w:val="both"/>
        <w:outlineLvl w:val="0"/>
        <w:rPr>
          <w:b/>
          <w:color w:val="C0504D" w:themeColor="accent2"/>
          <w:sz w:val="24"/>
          <w:szCs w:val="24"/>
        </w:rPr>
      </w:pPr>
    </w:p>
    <w:p w14:paraId="2B848920" w14:textId="77777777" w:rsidR="001D5137" w:rsidRPr="000030A7" w:rsidRDefault="001D5137" w:rsidP="001D5137">
      <w:pPr>
        <w:spacing w:after="0" w:line="276" w:lineRule="auto"/>
        <w:jc w:val="both"/>
        <w:outlineLvl w:val="0"/>
        <w:rPr>
          <w:b/>
          <w:color w:val="C0504D" w:themeColor="accent2"/>
          <w:sz w:val="24"/>
          <w:szCs w:val="24"/>
        </w:rPr>
      </w:pPr>
      <w:r w:rsidRPr="000030A7">
        <w:rPr>
          <w:b/>
          <w:color w:val="C0504D" w:themeColor="accent2"/>
          <w:sz w:val="24"/>
          <w:szCs w:val="24"/>
        </w:rPr>
        <w:t>Community Aspiration 9 (Transport and air quality)</w:t>
      </w:r>
    </w:p>
    <w:p w14:paraId="168D514A" w14:textId="77777777" w:rsidR="001D5137" w:rsidRPr="000030A7" w:rsidRDefault="001D5137" w:rsidP="001D5137">
      <w:pPr>
        <w:spacing w:after="0" w:line="276" w:lineRule="auto"/>
        <w:jc w:val="both"/>
        <w:outlineLvl w:val="0"/>
        <w:rPr>
          <w:b/>
          <w:color w:val="C0504D" w:themeColor="accent2"/>
          <w:sz w:val="24"/>
          <w:szCs w:val="24"/>
        </w:rPr>
      </w:pPr>
    </w:p>
    <w:p w14:paraId="4674545B" w14:textId="77777777" w:rsidR="001D5137" w:rsidRPr="000030A7" w:rsidRDefault="001D5137" w:rsidP="001D5137">
      <w:pPr>
        <w:pStyle w:val="ListParagraph"/>
        <w:numPr>
          <w:ilvl w:val="0"/>
          <w:numId w:val="13"/>
        </w:numPr>
        <w:spacing w:after="0" w:line="276" w:lineRule="auto"/>
        <w:ind w:left="357" w:hanging="357"/>
        <w:jc w:val="both"/>
        <w:outlineLvl w:val="0"/>
        <w:rPr>
          <w:b/>
          <w:color w:val="C0504D" w:themeColor="accent2"/>
          <w:sz w:val="24"/>
          <w:szCs w:val="24"/>
        </w:rPr>
      </w:pPr>
      <w:r w:rsidRPr="000030A7">
        <w:rPr>
          <w:b/>
          <w:color w:val="C0504D" w:themeColor="accent2"/>
          <w:sz w:val="24"/>
          <w:szCs w:val="24"/>
        </w:rPr>
        <w:t xml:space="preserve">It is a community aspiration that East Sussex County Council Highways deal with the severe dangers on the A259 at </w:t>
      </w:r>
      <w:proofErr w:type="spellStart"/>
      <w:r w:rsidRPr="000030A7">
        <w:rPr>
          <w:b/>
          <w:color w:val="C0504D" w:themeColor="accent2"/>
          <w:sz w:val="24"/>
          <w:szCs w:val="24"/>
        </w:rPr>
        <w:t>Bishopstone</w:t>
      </w:r>
      <w:proofErr w:type="spellEnd"/>
      <w:r w:rsidRPr="000030A7">
        <w:rPr>
          <w:b/>
          <w:color w:val="C0504D" w:themeColor="accent2"/>
          <w:sz w:val="24"/>
          <w:szCs w:val="24"/>
        </w:rPr>
        <w:t xml:space="preserve">/ Hill Rise and </w:t>
      </w:r>
      <w:proofErr w:type="spellStart"/>
      <w:r w:rsidRPr="000030A7">
        <w:rPr>
          <w:b/>
          <w:color w:val="C0504D" w:themeColor="accent2"/>
          <w:sz w:val="24"/>
          <w:szCs w:val="24"/>
        </w:rPr>
        <w:t>Hawth</w:t>
      </w:r>
      <w:proofErr w:type="spellEnd"/>
      <w:r w:rsidRPr="000030A7">
        <w:rPr>
          <w:b/>
          <w:color w:val="C0504D" w:themeColor="accent2"/>
          <w:sz w:val="24"/>
          <w:szCs w:val="24"/>
        </w:rPr>
        <w:t xml:space="preserve"> Hill</w:t>
      </w:r>
      <w:r w:rsidRPr="000030A7">
        <w:t xml:space="preserve"> </w:t>
      </w:r>
      <w:r w:rsidRPr="000030A7">
        <w:rPr>
          <w:b/>
          <w:color w:val="C0504D" w:themeColor="accent2"/>
          <w:sz w:val="24"/>
          <w:szCs w:val="24"/>
        </w:rPr>
        <w:t xml:space="preserve">and implement an appropriate solution using available funding.  </w:t>
      </w:r>
    </w:p>
    <w:p w14:paraId="77D5040B" w14:textId="77777777" w:rsidR="001D5137" w:rsidRPr="000030A7" w:rsidRDefault="001D5137" w:rsidP="001D5137">
      <w:pPr>
        <w:pStyle w:val="ListParagraph"/>
        <w:numPr>
          <w:ilvl w:val="0"/>
          <w:numId w:val="13"/>
        </w:numPr>
        <w:spacing w:after="0" w:line="276" w:lineRule="auto"/>
        <w:ind w:left="357" w:hanging="357"/>
        <w:jc w:val="both"/>
        <w:outlineLvl w:val="0"/>
        <w:rPr>
          <w:b/>
          <w:color w:val="C0504D" w:themeColor="accent2"/>
          <w:sz w:val="24"/>
          <w:szCs w:val="24"/>
        </w:rPr>
      </w:pPr>
      <w:r w:rsidRPr="000030A7">
        <w:rPr>
          <w:b/>
          <w:color w:val="C0504D" w:themeColor="accent2"/>
          <w:sz w:val="24"/>
          <w:szCs w:val="24"/>
        </w:rPr>
        <w:t>It is recommended that the suggestions in Appendix B are used to inform decisions by the local highway authority and other relevant bodies to improve the sustainable transport network in Seaford.</w:t>
      </w:r>
    </w:p>
    <w:p w14:paraId="420903CC" w14:textId="77777777" w:rsidR="00D031FA" w:rsidRPr="00BC6090" w:rsidRDefault="001D5137" w:rsidP="00711CB9">
      <w:pPr>
        <w:pStyle w:val="ListParagraph"/>
        <w:numPr>
          <w:ilvl w:val="0"/>
          <w:numId w:val="13"/>
        </w:numPr>
        <w:spacing w:after="0" w:line="276" w:lineRule="auto"/>
        <w:ind w:left="357" w:hanging="357"/>
        <w:jc w:val="both"/>
        <w:outlineLvl w:val="0"/>
        <w:rPr>
          <w:b/>
          <w:color w:val="C0504D" w:themeColor="accent2"/>
          <w:sz w:val="24"/>
          <w:szCs w:val="24"/>
        </w:rPr>
        <w:sectPr w:rsidR="00D031FA" w:rsidRPr="00BC6090" w:rsidSect="00892E77">
          <w:pgSz w:w="11906" w:h="16838"/>
          <w:pgMar w:top="1440" w:right="1440" w:bottom="1440" w:left="1440" w:header="708" w:footer="708" w:gutter="0"/>
          <w:cols w:space="708"/>
          <w:docGrid w:linePitch="360"/>
        </w:sectPr>
      </w:pPr>
      <w:r w:rsidRPr="001D5137">
        <w:rPr>
          <w:b/>
          <w:color w:val="C0504D" w:themeColor="accent2"/>
          <w:sz w:val="24"/>
          <w:szCs w:val="24"/>
        </w:rPr>
        <w:lastRenderedPageBreak/>
        <w:t>Seaford Town Council and East Sussex County Council should work closely with Cycle Seahaven, and other local groups as appropriate, to make improvements to the cycling infrastructure, particularly in the town centre. (See paragraph 7.22</w:t>
      </w:r>
      <w:r>
        <w:rPr>
          <w:b/>
          <w:color w:val="C0504D" w:themeColor="accent2"/>
          <w:sz w:val="24"/>
          <w:szCs w:val="24"/>
        </w:rPr>
        <w:t>)</w:t>
      </w:r>
    </w:p>
    <w:p w14:paraId="6EE36EDD" w14:textId="77777777" w:rsidR="00535478" w:rsidRPr="00535478" w:rsidRDefault="00535478" w:rsidP="00535478">
      <w:pPr>
        <w:spacing w:after="0" w:line="276" w:lineRule="auto"/>
        <w:jc w:val="both"/>
        <w:rPr>
          <w:b/>
          <w:color w:val="00B050"/>
          <w:sz w:val="24"/>
          <w:szCs w:val="24"/>
        </w:rPr>
      </w:pPr>
    </w:p>
    <w:sectPr w:rsidR="00535478" w:rsidRPr="00535478" w:rsidSect="007D5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8A5"/>
    <w:multiLevelType w:val="hybridMultilevel"/>
    <w:tmpl w:val="D6C4DF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B59B4"/>
    <w:multiLevelType w:val="hybridMultilevel"/>
    <w:tmpl w:val="1280F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15E92"/>
    <w:multiLevelType w:val="hybridMultilevel"/>
    <w:tmpl w:val="9C66A5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A003B"/>
    <w:multiLevelType w:val="hybridMultilevel"/>
    <w:tmpl w:val="02363B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5E6AA7"/>
    <w:multiLevelType w:val="hybridMultilevel"/>
    <w:tmpl w:val="A7444B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C2B67"/>
    <w:multiLevelType w:val="hybridMultilevel"/>
    <w:tmpl w:val="E05CB5B2"/>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16D4197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A065D"/>
    <w:multiLevelType w:val="hybridMultilevel"/>
    <w:tmpl w:val="A5648D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33572E"/>
    <w:multiLevelType w:val="hybridMultilevel"/>
    <w:tmpl w:val="95DEF1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637335"/>
    <w:multiLevelType w:val="hybridMultilevel"/>
    <w:tmpl w:val="0832A6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E1A6F"/>
    <w:multiLevelType w:val="hybridMultilevel"/>
    <w:tmpl w:val="B778293E"/>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64100B60"/>
    <w:multiLevelType w:val="hybridMultilevel"/>
    <w:tmpl w:val="FD589BB0"/>
    <w:lvl w:ilvl="0" w:tplc="FF20F2F4">
      <w:start w:val="1"/>
      <w:numFmt w:val="lowerLetter"/>
      <w:lvlText w:val="%1)"/>
      <w:lvlJc w:val="left"/>
      <w:pPr>
        <w:ind w:left="720" w:hanging="360"/>
      </w:pPr>
      <w:rPr>
        <w:rFonts w:hint="default"/>
        <w:b/>
        <w:color w:val="C0504D" w:themeColor="accent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2E4AA3"/>
    <w:multiLevelType w:val="hybridMultilevel"/>
    <w:tmpl w:val="2CB2F3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036D90"/>
    <w:multiLevelType w:val="hybridMultilevel"/>
    <w:tmpl w:val="06B6DC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1"/>
  </w:num>
  <w:num w:numId="5">
    <w:abstractNumId w:val="4"/>
  </w:num>
  <w:num w:numId="6">
    <w:abstractNumId w:val="6"/>
  </w:num>
  <w:num w:numId="7">
    <w:abstractNumId w:val="2"/>
  </w:num>
  <w:num w:numId="8">
    <w:abstractNumId w:val="12"/>
  </w:num>
  <w:num w:numId="9">
    <w:abstractNumId w:val="10"/>
  </w:num>
  <w:num w:numId="10">
    <w:abstractNumId w:val="0"/>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128D"/>
    <w:rsid w:val="001D5137"/>
    <w:rsid w:val="00211251"/>
    <w:rsid w:val="00535478"/>
    <w:rsid w:val="0060565D"/>
    <w:rsid w:val="00674DA7"/>
    <w:rsid w:val="006A128D"/>
    <w:rsid w:val="00711CB9"/>
    <w:rsid w:val="007D54D1"/>
    <w:rsid w:val="00910A83"/>
    <w:rsid w:val="00A5030F"/>
    <w:rsid w:val="00BC6090"/>
    <w:rsid w:val="00D031FA"/>
    <w:rsid w:val="00D1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EA1E"/>
  <w15:docId w15:val="{95485E7E-9245-4709-A1D0-D1F78C95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6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65D"/>
    <w:pPr>
      <w:ind w:left="720"/>
      <w:contextualSpacing/>
    </w:pPr>
  </w:style>
  <w:style w:type="paragraph" w:styleId="CommentText">
    <w:name w:val="annotation text"/>
    <w:basedOn w:val="Normal"/>
    <w:link w:val="CommentTextChar"/>
    <w:uiPriority w:val="99"/>
    <w:unhideWhenUsed/>
    <w:rsid w:val="00A5030F"/>
    <w:pPr>
      <w:spacing w:line="240" w:lineRule="auto"/>
    </w:pPr>
    <w:rPr>
      <w:sz w:val="20"/>
      <w:szCs w:val="20"/>
    </w:rPr>
  </w:style>
  <w:style w:type="character" w:customStyle="1" w:styleId="CommentTextChar">
    <w:name w:val="Comment Text Char"/>
    <w:basedOn w:val="DefaultParagraphFont"/>
    <w:link w:val="CommentText"/>
    <w:uiPriority w:val="99"/>
    <w:rsid w:val="00A5030F"/>
    <w:rPr>
      <w:sz w:val="20"/>
      <w:szCs w:val="20"/>
    </w:rPr>
  </w:style>
  <w:style w:type="paragraph" w:customStyle="1" w:styleId="Default">
    <w:name w:val="Default"/>
    <w:rsid w:val="00D031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BC870-9C56-40D5-BB24-83325F97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2827</Words>
  <Characters>16114</Characters>
  <Application>Microsoft Office Word</Application>
  <DocSecurity>4</DocSecurity>
  <Lines>134</Lines>
  <Paragraphs>37</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SEA9 Allotments</vt:lpstr>
      <vt:lpstr/>
      <vt:lpstr>Proposals resulting in the loss of allotments as shown on Map 8 will only be sup</vt:lpstr>
      <vt:lpstr>Alternative allotment provision is made on a site of equivalent visual and horti</vt:lpstr>
      <vt:lpstr>there is no need or demand for the allotments and that this is unlikely to chang</vt:lpstr>
      <vt:lpstr>there is no net loss of biodiversity. (See paragraph 6.34)</vt:lpstr>
      <vt:lpstr/>
      <vt:lpstr>SEA10 New Business Space at Cradle Hill</vt:lpstr>
      <vt:lpstr/>
      <vt:lpstr>Land at Cradle Hill Industrial Estate, as shown hatched blue on Map 9, is alloca</vt:lpstr>
      <vt:lpstr>the height of the development shall be no higher than the existing buildings</vt:lpstr>
      <vt:lpstr>the eastern boundary of the Cradle Hill Estate extension shall be clearly demarc</vt:lpstr>
      <vt:lpstr>Development should be designed to minimise visual impacts on the South Downs Nat</vt:lpstr>
      <vt:lpstr>Development must not harm highway safety and should provide for safe access.</vt:lpstr>
      <vt:lpstr>(See paragraph 6.40)</vt:lpstr>
      <vt:lpstr/>
      <vt:lpstr/>
      <vt:lpstr>The development of visitor accommodation within Seaford will be supported, subje</vt:lpstr>
      <vt:lpstr/>
      <vt:lpstr>SEA13 Safeguarding Future Transport Projects</vt:lpstr>
      <vt:lpstr>The land identified on Map 10 and Map 10A ii is safeguarded from any development</vt:lpstr>
      <vt:lpstr/>
      <vt:lpstr>Community Aspiration 5 (Infrastructure)</vt:lpstr>
      <vt:lpstr/>
      <vt:lpstr>It is recommended that priority must be given to ensuring that any future develo</vt:lpstr>
      <vt:lpstr/>
      <vt:lpstr>Community Aspiration 6 (Services for young people)</vt:lpstr>
      <vt:lpstr/>
      <vt:lpstr>It is recommended that:</vt:lpstr>
      <vt:lpstr>The provision of services (and facilities) for the young receive a high priority</vt:lpstr>
      <vt:lpstr>The provision of a café style facility for young people be explored;</vt:lpstr>
      <vt:lpstr>Existing recreation space be maintained and enhanced with facilities such as a B</vt:lpstr>
      <vt:lpstr>Lewes District Council to carry out a playing pitch strategy with a view to work</vt:lpstr>
      <vt:lpstr/>
      <vt:lpstr>Community Aspiration 8 (Recycling)</vt:lpstr>
      <vt:lpstr/>
      <vt:lpstr>It is recommended that:</vt:lpstr>
      <vt:lpstr>LDC investigates the potential for correcting the lack of recycling facilities o</vt:lpstr>
      <vt:lpstr>Princess Drive</vt:lpstr>
      <vt:lpstr>Area where Blatchington Rd meets Avondale Rd;</vt:lpstr>
      <vt:lpstr>Walmer Road</vt:lpstr>
      <vt:lpstr>Micklefield Way</vt:lpstr>
      <vt:lpstr>Lewes DC considers providing additional facilities for recycling cardboard; and</vt:lpstr>
      <vt:lpstr>Lewes DC continues to consult with the community on its Waste Strategy.(See para</vt:lpstr>
      <vt:lpstr/>
      <vt:lpstr>Community Aspiration 9 (Transport and air quality)</vt:lpstr>
      <vt:lpstr/>
      <vt:lpstr>It is a community aspiration that East Sussex County Council Highways deal with </vt:lpstr>
      <vt:lpstr>It is recommended that the suggestions in Appendix B are used to inform decision</vt:lpstr>
      <vt:lpstr>Seaford Town Council and East Sussex County Council should work closely with Cyc</vt:lpstr>
    </vt:vector>
  </TitlesOfParts>
  <Company>Sussex Downs College</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Services</dc:creator>
  <cp:lastModifiedBy>Isabelle Mouland</cp:lastModifiedBy>
  <cp:revision>2</cp:revision>
  <dcterms:created xsi:type="dcterms:W3CDTF">2020-01-21T17:42:00Z</dcterms:created>
  <dcterms:modified xsi:type="dcterms:W3CDTF">2020-01-21T17:42:00Z</dcterms:modified>
</cp:coreProperties>
</file>