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401F" w14:textId="77777777" w:rsidR="00E677DB" w:rsidRDefault="00E677DB" w:rsidP="00E677DB">
      <w:pPr>
        <w:jc w:val="center"/>
        <w:rPr>
          <w:b/>
          <w:sz w:val="28"/>
          <w:szCs w:val="28"/>
          <w:u w:val="single"/>
        </w:rPr>
      </w:pPr>
      <w:r>
        <w:rPr>
          <w:noProof/>
          <w:lang w:eastAsia="en-GB"/>
        </w:rPr>
        <w:drawing>
          <wp:anchor distT="0" distB="0" distL="114300" distR="114300" simplePos="0" relativeHeight="251658240" behindDoc="0" locked="0" layoutInCell="1" allowOverlap="1" wp14:anchorId="6ED4FB42" wp14:editId="2A8D20EC">
            <wp:simplePos x="0" y="0"/>
            <wp:positionH relativeFrom="column">
              <wp:posOffset>-68580</wp:posOffset>
            </wp:positionH>
            <wp:positionV relativeFrom="paragraph">
              <wp:posOffset>-604520</wp:posOffset>
            </wp:positionV>
            <wp:extent cx="4231640" cy="871220"/>
            <wp:effectExtent l="0" t="0" r="0" b="0"/>
            <wp:wrapNone/>
            <wp:docPr id="1" name="Picture 1" descr="logo-final artwork - R38G128B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inal artwork - R38G128B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1640" cy="871220"/>
                    </a:xfrm>
                    <a:prstGeom prst="rect">
                      <a:avLst/>
                    </a:prstGeom>
                    <a:noFill/>
                  </pic:spPr>
                </pic:pic>
              </a:graphicData>
            </a:graphic>
            <wp14:sizeRelH relativeFrom="page">
              <wp14:pctWidth>0</wp14:pctWidth>
            </wp14:sizeRelH>
            <wp14:sizeRelV relativeFrom="page">
              <wp14:pctHeight>0</wp14:pctHeight>
            </wp14:sizeRelV>
          </wp:anchor>
        </w:drawing>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1"/>
        <w:gridCol w:w="4995"/>
      </w:tblGrid>
      <w:tr w:rsidR="00E677DB" w14:paraId="51ACEB0E" w14:textId="77777777" w:rsidTr="00191BDC">
        <w:trPr>
          <w:trHeight w:val="511"/>
        </w:trPr>
        <w:tc>
          <w:tcPr>
            <w:tcW w:w="4781" w:type="dxa"/>
            <w:tcBorders>
              <w:top w:val="single" w:sz="4" w:space="0" w:color="auto"/>
              <w:left w:val="single" w:sz="4" w:space="0" w:color="auto"/>
              <w:bottom w:val="single" w:sz="4" w:space="0" w:color="auto"/>
              <w:right w:val="single" w:sz="4" w:space="0" w:color="auto"/>
            </w:tcBorders>
            <w:hideMark/>
          </w:tcPr>
          <w:p w14:paraId="6B6DB3B6" w14:textId="77777777" w:rsidR="00E677DB" w:rsidRDefault="00E677DB">
            <w:pPr>
              <w:pStyle w:val="Header"/>
              <w:rPr>
                <w:rFonts w:ascii="Calibri" w:hAnsi="Calibri"/>
                <w:b/>
                <w:sz w:val="36"/>
                <w:szCs w:val="36"/>
              </w:rPr>
            </w:pPr>
            <w:r>
              <w:rPr>
                <w:rFonts w:ascii="Calibri" w:hAnsi="Calibri"/>
                <w:b/>
                <w:sz w:val="36"/>
                <w:szCs w:val="36"/>
              </w:rPr>
              <w:t>Employer</w:t>
            </w:r>
          </w:p>
        </w:tc>
        <w:tc>
          <w:tcPr>
            <w:tcW w:w="4995" w:type="dxa"/>
            <w:tcBorders>
              <w:top w:val="single" w:sz="4" w:space="0" w:color="auto"/>
              <w:left w:val="single" w:sz="4" w:space="0" w:color="auto"/>
              <w:bottom w:val="single" w:sz="4" w:space="0" w:color="auto"/>
              <w:right w:val="single" w:sz="4" w:space="0" w:color="auto"/>
            </w:tcBorders>
          </w:tcPr>
          <w:p w14:paraId="6A942DC6" w14:textId="63FCA8B2" w:rsidR="00E677DB" w:rsidRPr="00546829" w:rsidRDefault="00BC24B1">
            <w:pPr>
              <w:pStyle w:val="Header"/>
              <w:rPr>
                <w:rFonts w:ascii="Calibri" w:hAnsi="Calibri"/>
                <w:b/>
                <w:sz w:val="36"/>
                <w:szCs w:val="36"/>
              </w:rPr>
            </w:pPr>
            <w:r w:rsidRPr="00546829">
              <w:rPr>
                <w:rFonts w:ascii="Calibri" w:hAnsi="Calibri"/>
                <w:b/>
                <w:sz w:val="36"/>
                <w:szCs w:val="36"/>
              </w:rPr>
              <w:t>Seaford</w:t>
            </w:r>
            <w:r w:rsidR="0039651E" w:rsidRPr="00546829">
              <w:rPr>
                <w:rFonts w:ascii="Calibri" w:hAnsi="Calibri"/>
                <w:b/>
                <w:sz w:val="36"/>
                <w:szCs w:val="36"/>
              </w:rPr>
              <w:t xml:space="preserve"> Town Council</w:t>
            </w:r>
          </w:p>
        </w:tc>
      </w:tr>
    </w:tbl>
    <w:p w14:paraId="71C26807" w14:textId="77777777" w:rsidR="00E677DB" w:rsidRDefault="00E677DB" w:rsidP="00E677DB">
      <w:pPr>
        <w:pStyle w:val="Header"/>
        <w:jc w:val="center"/>
        <w:rPr>
          <w:rFonts w:ascii="Calibri" w:hAnsi="Calibri"/>
          <w:b/>
          <w:sz w:val="36"/>
          <w:szCs w:val="3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8"/>
        <w:gridCol w:w="4998"/>
      </w:tblGrid>
      <w:tr w:rsidR="00E677DB" w14:paraId="4E4448EA" w14:textId="77777777" w:rsidTr="00191BDC">
        <w:trPr>
          <w:trHeight w:val="397"/>
        </w:trPr>
        <w:tc>
          <w:tcPr>
            <w:tcW w:w="4778" w:type="dxa"/>
            <w:tcBorders>
              <w:top w:val="single" w:sz="4" w:space="0" w:color="auto"/>
              <w:left w:val="single" w:sz="4" w:space="0" w:color="auto"/>
              <w:bottom w:val="single" w:sz="4" w:space="0" w:color="auto"/>
              <w:right w:val="single" w:sz="4" w:space="0" w:color="auto"/>
            </w:tcBorders>
            <w:vAlign w:val="center"/>
            <w:hideMark/>
          </w:tcPr>
          <w:p w14:paraId="4A1DBC9E" w14:textId="77777777" w:rsidR="00E677DB" w:rsidRDefault="00E677DB">
            <w:pPr>
              <w:pStyle w:val="Header"/>
              <w:rPr>
                <w:rFonts w:ascii="Calibri" w:hAnsi="Calibri"/>
                <w:b/>
              </w:rPr>
            </w:pPr>
            <w:r>
              <w:rPr>
                <w:rFonts w:ascii="Calibri" w:hAnsi="Calibri"/>
                <w:b/>
              </w:rPr>
              <w:t>Date of Policy Statement</w:t>
            </w:r>
          </w:p>
        </w:tc>
        <w:tc>
          <w:tcPr>
            <w:tcW w:w="4998" w:type="dxa"/>
            <w:tcBorders>
              <w:top w:val="single" w:sz="4" w:space="0" w:color="auto"/>
              <w:left w:val="single" w:sz="4" w:space="0" w:color="auto"/>
              <w:bottom w:val="single" w:sz="4" w:space="0" w:color="auto"/>
              <w:right w:val="single" w:sz="4" w:space="0" w:color="auto"/>
            </w:tcBorders>
            <w:vAlign w:val="center"/>
          </w:tcPr>
          <w:p w14:paraId="71D9DEC6" w14:textId="151C89D5" w:rsidR="00E677DB" w:rsidRDefault="0093578A">
            <w:pPr>
              <w:pStyle w:val="Header"/>
              <w:rPr>
                <w:rFonts w:ascii="Calibri" w:hAnsi="Calibri"/>
                <w:b/>
              </w:rPr>
            </w:pPr>
            <w:r>
              <w:rPr>
                <w:rFonts w:ascii="Calibri" w:hAnsi="Calibri"/>
                <w:b/>
              </w:rPr>
              <w:t>13</w:t>
            </w:r>
            <w:r w:rsidRPr="0093578A">
              <w:rPr>
                <w:rFonts w:ascii="Calibri" w:hAnsi="Calibri"/>
                <w:b/>
                <w:vertAlign w:val="superscript"/>
              </w:rPr>
              <w:t>th</w:t>
            </w:r>
            <w:r>
              <w:rPr>
                <w:rFonts w:ascii="Calibri" w:hAnsi="Calibri"/>
                <w:b/>
              </w:rPr>
              <w:t xml:space="preserve"> October</w:t>
            </w:r>
            <w:r w:rsidR="009115B9">
              <w:rPr>
                <w:rFonts w:ascii="Calibri" w:hAnsi="Calibri"/>
                <w:b/>
              </w:rPr>
              <w:t xml:space="preserve"> 2022</w:t>
            </w:r>
          </w:p>
        </w:tc>
      </w:tr>
      <w:tr w:rsidR="00E677DB" w14:paraId="7208DD52" w14:textId="77777777" w:rsidTr="00191BDC">
        <w:trPr>
          <w:trHeight w:val="397"/>
        </w:trPr>
        <w:tc>
          <w:tcPr>
            <w:tcW w:w="4778" w:type="dxa"/>
            <w:tcBorders>
              <w:top w:val="single" w:sz="4" w:space="0" w:color="auto"/>
              <w:left w:val="single" w:sz="4" w:space="0" w:color="auto"/>
              <w:bottom w:val="single" w:sz="4" w:space="0" w:color="auto"/>
              <w:right w:val="single" w:sz="4" w:space="0" w:color="auto"/>
            </w:tcBorders>
            <w:vAlign w:val="center"/>
            <w:hideMark/>
          </w:tcPr>
          <w:p w14:paraId="2CAE23EF" w14:textId="77777777" w:rsidR="00E677DB" w:rsidRDefault="00E677DB">
            <w:pPr>
              <w:pStyle w:val="Header"/>
              <w:rPr>
                <w:rFonts w:ascii="Calibri" w:hAnsi="Calibri"/>
                <w:b/>
              </w:rPr>
            </w:pPr>
            <w:r>
              <w:rPr>
                <w:rFonts w:ascii="Calibri" w:hAnsi="Calibri"/>
                <w:b/>
              </w:rPr>
              <w:t>Date for Review</w:t>
            </w:r>
          </w:p>
        </w:tc>
        <w:tc>
          <w:tcPr>
            <w:tcW w:w="4998" w:type="dxa"/>
            <w:tcBorders>
              <w:top w:val="single" w:sz="4" w:space="0" w:color="auto"/>
              <w:left w:val="single" w:sz="4" w:space="0" w:color="auto"/>
              <w:bottom w:val="single" w:sz="4" w:space="0" w:color="auto"/>
              <w:right w:val="single" w:sz="4" w:space="0" w:color="auto"/>
            </w:tcBorders>
            <w:vAlign w:val="center"/>
          </w:tcPr>
          <w:p w14:paraId="2FA54305" w14:textId="07222CBA" w:rsidR="00E677DB" w:rsidRPr="009115B9" w:rsidRDefault="0093578A">
            <w:pPr>
              <w:pStyle w:val="Header"/>
              <w:rPr>
                <w:rFonts w:asciiTheme="minorHAnsi" w:hAnsiTheme="minorHAnsi" w:cstheme="minorHAnsi"/>
                <w:b/>
              </w:rPr>
            </w:pPr>
            <w:r>
              <w:rPr>
                <w:rFonts w:ascii="Calibri" w:hAnsi="Calibri"/>
                <w:b/>
              </w:rPr>
              <w:t>October</w:t>
            </w:r>
            <w:r w:rsidR="009115B9" w:rsidRPr="009115B9">
              <w:rPr>
                <w:rFonts w:ascii="Calibri" w:hAnsi="Calibri"/>
                <w:b/>
              </w:rPr>
              <w:t xml:space="preserve"> 202</w:t>
            </w:r>
            <w:r w:rsidR="00B45E58">
              <w:rPr>
                <w:rFonts w:ascii="Calibri" w:hAnsi="Calibri"/>
                <w:b/>
              </w:rPr>
              <w:t>5</w:t>
            </w:r>
          </w:p>
        </w:tc>
      </w:tr>
    </w:tbl>
    <w:p w14:paraId="591F9011" w14:textId="77777777" w:rsidR="00E677DB" w:rsidRDefault="00E677DB" w:rsidP="00E677DB">
      <w:pPr>
        <w:spacing w:line="360" w:lineRule="auto"/>
        <w:jc w:val="center"/>
        <w:rPr>
          <w:b/>
          <w:sz w:val="28"/>
          <w:szCs w:val="28"/>
          <w:u w:val="single"/>
        </w:rPr>
      </w:pPr>
    </w:p>
    <w:p w14:paraId="2AE6D0FE" w14:textId="77777777" w:rsidR="008A28DF" w:rsidRDefault="008A28DF" w:rsidP="008A28DF">
      <w:pPr>
        <w:spacing w:line="360" w:lineRule="auto"/>
        <w:jc w:val="center"/>
        <w:rPr>
          <w:b/>
          <w:sz w:val="28"/>
          <w:szCs w:val="28"/>
          <w:u w:val="single"/>
        </w:rPr>
      </w:pPr>
      <w:r>
        <w:rPr>
          <w:b/>
          <w:sz w:val="28"/>
          <w:szCs w:val="28"/>
          <w:u w:val="single"/>
        </w:rPr>
        <w:t>Discretions under the Local Government Pension Scheme 2014</w:t>
      </w:r>
    </w:p>
    <w:p w14:paraId="73EC5A91" w14:textId="77777777" w:rsidR="008A28DF" w:rsidRDefault="008A28DF" w:rsidP="008A28DF">
      <w:pPr>
        <w:spacing w:line="360" w:lineRule="auto"/>
      </w:pPr>
      <w:r>
        <w:t xml:space="preserve">These discretions are Employer discretions under The Local Government Pension Scheme Regulations 2013 (prefix </w:t>
      </w:r>
      <w:r>
        <w:rPr>
          <w:b/>
        </w:rPr>
        <w:t>R</w:t>
      </w:r>
      <w:r>
        <w:t xml:space="preserve">) and The Local Government Pension Scheme (Transitional Provisions, Savings and Amendment) Regulations 2014 (prefix </w:t>
      </w:r>
      <w:r>
        <w:rPr>
          <w:b/>
        </w:rPr>
        <w:t>TP</w:t>
      </w:r>
      <w:r>
        <w:t xml:space="preserve">) on which Employers are </w:t>
      </w:r>
      <w:r w:rsidRPr="006D090D">
        <w:t>recommended</w:t>
      </w:r>
      <w:r>
        <w:t xml:space="preserve"> to formulate and publish a policy.</w:t>
      </w:r>
    </w:p>
    <w:tbl>
      <w:tblPr>
        <w:tblStyle w:val="TableGrid"/>
        <w:tblW w:w="9865" w:type="dxa"/>
        <w:tblLook w:val="04A0" w:firstRow="1" w:lastRow="0" w:firstColumn="1" w:lastColumn="0" w:noHBand="0" w:noVBand="1"/>
      </w:tblPr>
      <w:tblGrid>
        <w:gridCol w:w="1701"/>
        <w:gridCol w:w="4876"/>
        <w:gridCol w:w="3288"/>
      </w:tblGrid>
      <w:tr w:rsidR="00683994" w:rsidRPr="00331214" w14:paraId="7B69E6EA" w14:textId="77777777" w:rsidTr="00683994">
        <w:tc>
          <w:tcPr>
            <w:tcW w:w="1701" w:type="dxa"/>
          </w:tcPr>
          <w:p w14:paraId="4D5B52A7" w14:textId="77777777" w:rsidR="008A28DF" w:rsidRPr="00CA55A5" w:rsidRDefault="008A28DF" w:rsidP="008A28DF">
            <w:pPr>
              <w:rPr>
                <w:rFonts w:cs="Calibri"/>
                <w:b/>
                <w:bCs/>
              </w:rPr>
            </w:pPr>
            <w:r w:rsidRPr="00CA55A5">
              <w:rPr>
                <w:rFonts w:cs="Calibri"/>
                <w:b/>
                <w:bCs/>
              </w:rPr>
              <w:t>Regulation</w:t>
            </w:r>
          </w:p>
        </w:tc>
        <w:tc>
          <w:tcPr>
            <w:tcW w:w="4876" w:type="dxa"/>
          </w:tcPr>
          <w:p w14:paraId="437EB2C0" w14:textId="77777777" w:rsidR="008A28DF" w:rsidRPr="00CA55A5" w:rsidRDefault="008A28DF" w:rsidP="008A28DF">
            <w:pPr>
              <w:rPr>
                <w:rFonts w:cs="Calibri"/>
                <w:b/>
                <w:bCs/>
              </w:rPr>
            </w:pPr>
            <w:r w:rsidRPr="00CA55A5">
              <w:rPr>
                <w:rFonts w:cs="Calibri"/>
                <w:b/>
                <w:bCs/>
              </w:rPr>
              <w:t>Discretion</w:t>
            </w:r>
          </w:p>
        </w:tc>
        <w:tc>
          <w:tcPr>
            <w:tcW w:w="3288" w:type="dxa"/>
          </w:tcPr>
          <w:p w14:paraId="6E9C40AC" w14:textId="77777777" w:rsidR="008A28DF" w:rsidRPr="00CA55A5" w:rsidRDefault="008A28DF" w:rsidP="008A28DF">
            <w:pPr>
              <w:rPr>
                <w:rFonts w:cs="Calibri"/>
                <w:b/>
                <w:bCs/>
              </w:rPr>
            </w:pPr>
            <w:r w:rsidRPr="00CA55A5">
              <w:rPr>
                <w:rFonts w:cs="Calibri"/>
                <w:b/>
                <w:bCs/>
              </w:rPr>
              <w:t>Employer’s Policy on the exercise of this discretion</w:t>
            </w:r>
          </w:p>
        </w:tc>
      </w:tr>
      <w:tr w:rsidR="00683994" w:rsidRPr="00331214" w14:paraId="2FC29A07" w14:textId="77777777" w:rsidTr="00683994">
        <w:tc>
          <w:tcPr>
            <w:tcW w:w="1701" w:type="dxa"/>
          </w:tcPr>
          <w:p w14:paraId="28CC9685" w14:textId="77777777" w:rsidR="008A28DF" w:rsidRPr="00683994" w:rsidRDefault="008A28DF">
            <w:pPr>
              <w:rPr>
                <w:rFonts w:cs="Calibri"/>
                <w:b/>
              </w:rPr>
            </w:pPr>
            <w:r w:rsidRPr="00683994">
              <w:rPr>
                <w:rFonts w:cs="Calibri"/>
                <w:b/>
              </w:rPr>
              <w:t>R17 &amp; T</w:t>
            </w:r>
            <w:r w:rsidR="006D090D" w:rsidRPr="00683994">
              <w:rPr>
                <w:rFonts w:cs="Calibri"/>
                <w:b/>
              </w:rPr>
              <w:t>P</w:t>
            </w:r>
            <w:r w:rsidRPr="00683994">
              <w:rPr>
                <w:rFonts w:cs="Calibri"/>
                <w:b/>
              </w:rPr>
              <w:t>15(2A)</w:t>
            </w:r>
          </w:p>
        </w:tc>
        <w:tc>
          <w:tcPr>
            <w:tcW w:w="4876" w:type="dxa"/>
          </w:tcPr>
          <w:p w14:paraId="4BB73B5E" w14:textId="77777777" w:rsidR="00191BDC" w:rsidRPr="00683994" w:rsidRDefault="008A28DF" w:rsidP="00683994">
            <w:pPr>
              <w:jc w:val="both"/>
              <w:rPr>
                <w:rFonts w:eastAsia="Times New Roman" w:cs="Arial"/>
                <w:lang w:val="en" w:eastAsia="en-GB"/>
              </w:rPr>
            </w:pPr>
            <w:r w:rsidRPr="00683994">
              <w:rPr>
                <w:rFonts w:eastAsia="Times New Roman" w:cs="Arial"/>
                <w:lang w:val="en" w:eastAsia="en-GB"/>
              </w:rPr>
              <w:t xml:space="preserve">Whether, how much, and in what circumstances to contribute to a Shared Cost Additional Voluntary Contribution (SCAVC) arrangement </w:t>
            </w:r>
          </w:p>
        </w:tc>
        <w:tc>
          <w:tcPr>
            <w:tcW w:w="3288" w:type="dxa"/>
          </w:tcPr>
          <w:p w14:paraId="4F6D50D3" w14:textId="3896B339" w:rsidR="008A28DF" w:rsidRPr="00331214" w:rsidRDefault="00BC24B1">
            <w:pPr>
              <w:rPr>
                <w:rFonts w:cs="Calibri"/>
              </w:rPr>
            </w:pPr>
            <w:r>
              <w:rPr>
                <w:rFonts w:cs="Calibri"/>
              </w:rPr>
              <w:t>Seaford</w:t>
            </w:r>
            <w:r w:rsidR="00A97D6B">
              <w:rPr>
                <w:rFonts w:cs="Calibri"/>
              </w:rPr>
              <w:t xml:space="preserve"> Town Council does not intend to exercise this discretion.</w:t>
            </w:r>
          </w:p>
        </w:tc>
      </w:tr>
      <w:tr w:rsidR="00683994" w:rsidRPr="00331214" w14:paraId="10D54BEA" w14:textId="77777777" w:rsidTr="00683994">
        <w:tc>
          <w:tcPr>
            <w:tcW w:w="1701" w:type="dxa"/>
          </w:tcPr>
          <w:p w14:paraId="579BBD2F" w14:textId="77777777" w:rsidR="008A28DF" w:rsidRPr="00683994" w:rsidRDefault="008A28DF">
            <w:pPr>
              <w:rPr>
                <w:rFonts w:cs="Calibri"/>
                <w:b/>
              </w:rPr>
            </w:pPr>
            <w:r w:rsidRPr="00683994">
              <w:rPr>
                <w:rFonts w:cs="Calibri"/>
                <w:b/>
              </w:rPr>
              <w:t>R16(</w:t>
            </w:r>
            <w:r w:rsidR="006D090D" w:rsidRPr="00683994">
              <w:rPr>
                <w:rFonts w:cs="Calibri"/>
                <w:b/>
              </w:rPr>
              <w:t>1</w:t>
            </w:r>
            <w:r w:rsidRPr="00683994">
              <w:rPr>
                <w:rFonts w:cs="Calibri"/>
                <w:b/>
              </w:rPr>
              <w:t>6)</w:t>
            </w:r>
          </w:p>
        </w:tc>
        <w:tc>
          <w:tcPr>
            <w:tcW w:w="4876" w:type="dxa"/>
          </w:tcPr>
          <w:p w14:paraId="0CB58839" w14:textId="77777777" w:rsidR="00683994" w:rsidRPr="00683994" w:rsidRDefault="008A28DF" w:rsidP="00683994">
            <w:pPr>
              <w:jc w:val="both"/>
              <w:rPr>
                <w:rFonts w:eastAsia="Times New Roman" w:cs="Arial"/>
                <w:lang w:val="en" w:eastAsia="en-GB"/>
              </w:rPr>
            </w:pPr>
            <w:r w:rsidRPr="00683994">
              <w:rPr>
                <w:rFonts w:eastAsia="Times New Roman" w:cs="Arial"/>
                <w:lang w:val="en" w:eastAsia="en-GB"/>
              </w:rPr>
              <w:t xml:space="preserve">Whether to extend the </w:t>
            </w:r>
            <w:proofErr w:type="gramStart"/>
            <w:r w:rsidRPr="00683994">
              <w:rPr>
                <w:rFonts w:eastAsia="Times New Roman" w:cs="Arial"/>
                <w:lang w:val="en" w:eastAsia="en-GB"/>
              </w:rPr>
              <w:t>30 day</w:t>
            </w:r>
            <w:proofErr w:type="gramEnd"/>
            <w:r w:rsidRPr="00683994">
              <w:rPr>
                <w:rFonts w:eastAsia="Times New Roman" w:cs="Arial"/>
                <w:lang w:val="en" w:eastAsia="en-GB"/>
              </w:rPr>
              <w:t xml:space="preserve"> deadline for member to elect for a Shared Cost Additional</w:t>
            </w:r>
            <w:r w:rsidR="00E05B1B" w:rsidRPr="00683994">
              <w:rPr>
                <w:rFonts w:eastAsia="Times New Roman" w:cs="Arial"/>
                <w:lang w:val="en" w:eastAsia="en-GB"/>
              </w:rPr>
              <w:t xml:space="preserve"> </w:t>
            </w:r>
            <w:r w:rsidRPr="00683994">
              <w:rPr>
                <w:rFonts w:eastAsia="Times New Roman" w:cs="Arial"/>
                <w:lang w:val="en" w:eastAsia="en-GB"/>
              </w:rPr>
              <w:t xml:space="preserve">Pension </w:t>
            </w:r>
            <w:r w:rsidR="00E05B1B" w:rsidRPr="00683994">
              <w:rPr>
                <w:rFonts w:eastAsia="Times New Roman" w:cs="Arial"/>
                <w:lang w:val="en" w:eastAsia="en-GB"/>
              </w:rPr>
              <w:t>Contribution</w:t>
            </w:r>
            <w:r w:rsidRPr="00683994">
              <w:rPr>
                <w:rFonts w:eastAsia="Times New Roman" w:cs="Arial"/>
                <w:lang w:val="en" w:eastAsia="en-GB"/>
              </w:rPr>
              <w:t xml:space="preserve"> </w:t>
            </w:r>
            <w:r w:rsidR="00E05B1B" w:rsidRPr="00683994">
              <w:rPr>
                <w:rFonts w:eastAsia="Times New Roman" w:cs="Arial"/>
                <w:lang w:val="en" w:eastAsia="en-GB"/>
              </w:rPr>
              <w:t>(</w:t>
            </w:r>
            <w:r w:rsidRPr="00683994">
              <w:rPr>
                <w:rFonts w:eastAsia="Times New Roman" w:cs="Arial"/>
                <w:lang w:val="en" w:eastAsia="en-GB"/>
              </w:rPr>
              <w:t>SCAPC</w:t>
            </w:r>
            <w:r w:rsidR="00E05B1B" w:rsidRPr="00683994">
              <w:rPr>
                <w:rFonts w:eastAsia="Times New Roman" w:cs="Arial"/>
                <w:lang w:val="en" w:eastAsia="en-GB"/>
              </w:rPr>
              <w:t>)</w:t>
            </w:r>
            <w:r w:rsidRPr="00683994">
              <w:rPr>
                <w:rFonts w:eastAsia="Times New Roman" w:cs="Arial"/>
                <w:lang w:val="en" w:eastAsia="en-GB"/>
              </w:rPr>
              <w:t xml:space="preserve"> upon return from a period of absence from work with permission with no pensionable pay (otherwise than because of illness or injury, relevant child-related leave or reserve forces service leave)</w:t>
            </w:r>
          </w:p>
        </w:tc>
        <w:tc>
          <w:tcPr>
            <w:tcW w:w="3288" w:type="dxa"/>
          </w:tcPr>
          <w:p w14:paraId="2B37A583" w14:textId="5DB41A75" w:rsidR="008A28DF" w:rsidRPr="00331214" w:rsidRDefault="00BC24B1">
            <w:pPr>
              <w:rPr>
                <w:rFonts w:cs="Calibri"/>
              </w:rPr>
            </w:pPr>
            <w:r>
              <w:rPr>
                <w:rFonts w:cs="Calibri"/>
              </w:rPr>
              <w:t>Seaford</w:t>
            </w:r>
            <w:r w:rsidR="00A97D6B">
              <w:rPr>
                <w:rFonts w:cs="Calibri"/>
              </w:rPr>
              <w:t xml:space="preserve"> Town Council does not intend to exercise this discretion.</w:t>
            </w:r>
          </w:p>
        </w:tc>
      </w:tr>
      <w:tr w:rsidR="00683994" w:rsidRPr="00331214" w14:paraId="1544F85C" w14:textId="77777777" w:rsidTr="0086227D">
        <w:trPr>
          <w:trHeight w:val="1649"/>
        </w:trPr>
        <w:tc>
          <w:tcPr>
            <w:tcW w:w="1701" w:type="dxa"/>
          </w:tcPr>
          <w:p w14:paraId="61CE01C2" w14:textId="77777777" w:rsidR="008A28DF" w:rsidRPr="00683994" w:rsidRDefault="00E05B1B">
            <w:pPr>
              <w:rPr>
                <w:rFonts w:cs="Calibri"/>
                <w:b/>
              </w:rPr>
            </w:pPr>
            <w:r w:rsidRPr="00683994">
              <w:rPr>
                <w:rFonts w:cs="Calibri"/>
                <w:b/>
              </w:rPr>
              <w:t>R100(6)</w:t>
            </w:r>
          </w:p>
        </w:tc>
        <w:tc>
          <w:tcPr>
            <w:tcW w:w="4876" w:type="dxa"/>
          </w:tcPr>
          <w:p w14:paraId="372660B2" w14:textId="77777777" w:rsidR="008A28DF" w:rsidRPr="00331214" w:rsidRDefault="00E05B1B" w:rsidP="00CA55A5">
            <w:pPr>
              <w:jc w:val="both"/>
              <w:rPr>
                <w:rFonts w:cs="Calibri"/>
              </w:rPr>
            </w:pPr>
            <w:r w:rsidRPr="00CA55A5">
              <w:rPr>
                <w:rFonts w:eastAsia="Times New Roman" w:cs="Arial"/>
                <w:lang w:val="en" w:eastAsia="en-GB"/>
              </w:rPr>
              <w:t xml:space="preserve">Whether, </w:t>
            </w:r>
            <w:r w:rsidRPr="00CA55A5">
              <w:rPr>
                <w:rFonts w:eastAsia="Times New Roman" w:cs="Arial"/>
                <w:b/>
                <w:bCs/>
                <w:lang w:val="en" w:eastAsia="en-GB"/>
              </w:rPr>
              <w:t>with the agreement of the Pension Fund administering authority</w:t>
            </w:r>
            <w:r w:rsidRPr="00CA55A5">
              <w:rPr>
                <w:rFonts w:eastAsia="Times New Roman" w:cs="Arial"/>
                <w:lang w:val="en" w:eastAsia="en-GB"/>
              </w:rPr>
              <w:t>, to permit a member to elect to transfer pension rights from another registered pension scheme into the LGPS, if they had not made such an election to do so within 12 months of first joining the LGPS in that employment</w:t>
            </w:r>
          </w:p>
        </w:tc>
        <w:tc>
          <w:tcPr>
            <w:tcW w:w="3288" w:type="dxa"/>
          </w:tcPr>
          <w:p w14:paraId="565851BF" w14:textId="6BF01019" w:rsidR="008A28DF" w:rsidRPr="00331214" w:rsidRDefault="00BC24B1">
            <w:pPr>
              <w:rPr>
                <w:rFonts w:cs="Calibri"/>
              </w:rPr>
            </w:pPr>
            <w:r>
              <w:rPr>
                <w:rFonts w:cs="Calibri"/>
              </w:rPr>
              <w:t>Seaford</w:t>
            </w:r>
            <w:r w:rsidR="00A97D6B">
              <w:rPr>
                <w:rFonts w:cs="Calibri"/>
              </w:rPr>
              <w:t xml:space="preserve"> Town Council does not intend to exercise this discretion.</w:t>
            </w:r>
          </w:p>
        </w:tc>
      </w:tr>
      <w:tr w:rsidR="00683994" w:rsidRPr="00331214" w14:paraId="4E813159" w14:textId="77777777" w:rsidTr="00CA55A5">
        <w:trPr>
          <w:trHeight w:val="1587"/>
        </w:trPr>
        <w:tc>
          <w:tcPr>
            <w:tcW w:w="1701" w:type="dxa"/>
          </w:tcPr>
          <w:p w14:paraId="11F8B173" w14:textId="77777777" w:rsidR="008A28DF" w:rsidRPr="00683994" w:rsidRDefault="00E05B1B" w:rsidP="00683994">
            <w:pPr>
              <w:pStyle w:val="Default"/>
              <w:rPr>
                <w:rFonts w:cs="Calibri"/>
                <w:b/>
              </w:rPr>
            </w:pPr>
            <w:r w:rsidRPr="00683994">
              <w:rPr>
                <w:rFonts w:ascii="Calibri" w:hAnsi="Calibri" w:cs="Calibri"/>
                <w:b/>
                <w:sz w:val="22"/>
                <w:szCs w:val="22"/>
              </w:rPr>
              <w:t>R22(7) and (8)</w:t>
            </w:r>
          </w:p>
        </w:tc>
        <w:tc>
          <w:tcPr>
            <w:tcW w:w="4876" w:type="dxa"/>
          </w:tcPr>
          <w:p w14:paraId="0CBC3BF5" w14:textId="60C07C1C" w:rsidR="008A28DF" w:rsidRPr="00331214" w:rsidRDefault="00E05B1B" w:rsidP="00CA55A5">
            <w:pPr>
              <w:jc w:val="both"/>
              <w:rPr>
                <w:rFonts w:cs="Calibri"/>
              </w:rPr>
            </w:pPr>
            <w:r w:rsidRPr="00CA55A5">
              <w:rPr>
                <w:rFonts w:eastAsia="Times New Roman" w:cs="Arial"/>
                <w:lang w:val="en" w:eastAsia="en-GB"/>
              </w:rPr>
              <w:t xml:space="preserve">Whether to extend the 12 month time limit within which a member who has a deferred LGPS benefit in England or Wales following the cessation of employment (or cessation of a concurrent employment) after 31 March 2014 may elect not to have their deferred benefits aggregated with their new LGPS employment (or ongoing concurrent LGPS </w:t>
            </w:r>
            <w:r w:rsidRPr="00CA55A5">
              <w:rPr>
                <w:rFonts w:eastAsia="Times New Roman" w:cs="Arial"/>
                <w:lang w:val="en" w:eastAsia="en-GB"/>
              </w:rPr>
              <w:lastRenderedPageBreak/>
              <w:t>employment) if the member has not made an election to retain separate benefits within 12 months of commencing membership of the LGPS in that new employment (or within 12 months of ceasing the concurrent membership)</w:t>
            </w:r>
          </w:p>
        </w:tc>
        <w:tc>
          <w:tcPr>
            <w:tcW w:w="3288" w:type="dxa"/>
          </w:tcPr>
          <w:p w14:paraId="2C54DBCE" w14:textId="550AD557" w:rsidR="008A28DF" w:rsidRPr="00331214" w:rsidRDefault="00BC24B1">
            <w:pPr>
              <w:rPr>
                <w:rFonts w:cs="Calibri"/>
              </w:rPr>
            </w:pPr>
            <w:r>
              <w:rPr>
                <w:rFonts w:cs="Calibri"/>
              </w:rPr>
              <w:lastRenderedPageBreak/>
              <w:t>Seaford</w:t>
            </w:r>
            <w:r w:rsidR="00A97D6B">
              <w:rPr>
                <w:rFonts w:cs="Calibri"/>
              </w:rPr>
              <w:t xml:space="preserve"> Town Council does not intend to exercise this discretion.</w:t>
            </w:r>
          </w:p>
        </w:tc>
      </w:tr>
      <w:tr w:rsidR="00683994" w:rsidRPr="00331214" w14:paraId="089BB9FB" w14:textId="77777777" w:rsidTr="00CA55A5">
        <w:trPr>
          <w:trHeight w:val="1928"/>
        </w:trPr>
        <w:tc>
          <w:tcPr>
            <w:tcW w:w="1701" w:type="dxa"/>
          </w:tcPr>
          <w:p w14:paraId="4D4EF00F" w14:textId="77777777" w:rsidR="008A28DF" w:rsidRPr="00683994" w:rsidRDefault="00E05B1B">
            <w:pPr>
              <w:rPr>
                <w:rFonts w:cs="Calibri"/>
                <w:b/>
              </w:rPr>
            </w:pPr>
            <w:r w:rsidRPr="00683994">
              <w:rPr>
                <w:rFonts w:cs="Calibri"/>
                <w:b/>
              </w:rPr>
              <w:t>T</w:t>
            </w:r>
            <w:r w:rsidR="003506AF" w:rsidRPr="00683994">
              <w:rPr>
                <w:rFonts w:cs="Calibri"/>
                <w:b/>
              </w:rPr>
              <w:t>P</w:t>
            </w:r>
            <w:r w:rsidRPr="00683994">
              <w:rPr>
                <w:rFonts w:cs="Calibri"/>
                <w:b/>
              </w:rPr>
              <w:t>10(6)</w:t>
            </w:r>
          </w:p>
        </w:tc>
        <w:tc>
          <w:tcPr>
            <w:tcW w:w="4876" w:type="dxa"/>
          </w:tcPr>
          <w:p w14:paraId="685C4949" w14:textId="77777777" w:rsidR="008A28DF" w:rsidRPr="00683994" w:rsidRDefault="00E05B1B" w:rsidP="00683994">
            <w:pPr>
              <w:jc w:val="both"/>
              <w:rPr>
                <w:rFonts w:eastAsia="Times New Roman" w:cs="Arial"/>
                <w:lang w:val="en" w:eastAsia="en-GB"/>
              </w:rPr>
            </w:pPr>
            <w:r w:rsidRPr="00683994">
              <w:rPr>
                <w:rFonts w:eastAsia="Times New Roman" w:cs="Arial"/>
                <w:lang w:val="en" w:eastAsia="en-GB"/>
              </w:rPr>
              <w:t xml:space="preserve">Whether to extend the 12 month time limit within which a member (who has not elected to be treated as a member who, in the same employment, was contributing to the Scheme on both 31 March 2014 and 1 April 2014) who has a deferred LGPS benefit in England or Wales following the cessation of employment </w:t>
            </w:r>
            <w:r w:rsidRPr="00683994">
              <w:rPr>
                <w:rFonts w:eastAsia="Times New Roman" w:cs="Arial"/>
                <w:b/>
                <w:lang w:val="en" w:eastAsia="en-GB"/>
              </w:rPr>
              <w:t>before</w:t>
            </w:r>
            <w:r w:rsidRPr="00683994">
              <w:rPr>
                <w:rFonts w:eastAsia="Times New Roman" w:cs="Arial"/>
                <w:lang w:val="en" w:eastAsia="en-GB"/>
              </w:rPr>
              <w:t xml:space="preserve"> 1 April 2014, to elect to aggregate their deferred benefits with their new LGPS employment that commenced on or after 14 May 2018</w:t>
            </w:r>
          </w:p>
        </w:tc>
        <w:tc>
          <w:tcPr>
            <w:tcW w:w="3288" w:type="dxa"/>
          </w:tcPr>
          <w:p w14:paraId="37746D8E" w14:textId="79E5A77F" w:rsidR="008A28DF" w:rsidRPr="00331214" w:rsidRDefault="00BC24B1">
            <w:pPr>
              <w:rPr>
                <w:rFonts w:cs="Calibri"/>
              </w:rPr>
            </w:pPr>
            <w:r>
              <w:rPr>
                <w:rFonts w:cs="Calibri"/>
              </w:rPr>
              <w:t>Seaford</w:t>
            </w:r>
            <w:r w:rsidR="00A97D6B">
              <w:rPr>
                <w:rFonts w:cs="Calibri"/>
              </w:rPr>
              <w:t xml:space="preserve"> Town Council does not intend to exercise this discretion.</w:t>
            </w:r>
          </w:p>
        </w:tc>
      </w:tr>
      <w:tr w:rsidR="00683994" w:rsidRPr="00331214" w14:paraId="63D45078" w14:textId="77777777" w:rsidTr="00683994">
        <w:tc>
          <w:tcPr>
            <w:tcW w:w="1701" w:type="dxa"/>
          </w:tcPr>
          <w:p w14:paraId="593A7A0B" w14:textId="77777777" w:rsidR="008A28DF" w:rsidRPr="00683994" w:rsidRDefault="00E05B1B">
            <w:pPr>
              <w:rPr>
                <w:rFonts w:cs="Calibri"/>
                <w:b/>
              </w:rPr>
            </w:pPr>
            <w:r w:rsidRPr="00683994">
              <w:rPr>
                <w:rFonts w:cs="Calibri"/>
                <w:b/>
              </w:rPr>
              <w:t>R9&amp;R10</w:t>
            </w:r>
          </w:p>
        </w:tc>
        <w:tc>
          <w:tcPr>
            <w:tcW w:w="4876" w:type="dxa"/>
          </w:tcPr>
          <w:p w14:paraId="3368EA1D" w14:textId="77777777" w:rsidR="008A28DF" w:rsidRPr="00683994" w:rsidRDefault="00E05B1B" w:rsidP="00683994">
            <w:pPr>
              <w:jc w:val="both"/>
              <w:rPr>
                <w:rFonts w:eastAsia="Times New Roman" w:cs="Arial"/>
                <w:lang w:val="en" w:eastAsia="en-GB"/>
              </w:rPr>
            </w:pPr>
            <w:r w:rsidRPr="00683994">
              <w:rPr>
                <w:rFonts w:eastAsia="Times New Roman" w:cs="Arial"/>
                <w:lang w:val="en" w:eastAsia="en-GB"/>
              </w:rPr>
              <w:t xml:space="preserve">How the pension contribution band to which an employee is to be allocated on joining the Scheme, and at each subsequent April, will be determined and the circumstances in which the Scheme employer will, in addition to the review each April, review the pension contribution band to which an employee has been allocated following a material change which affects the member’s pensionable pay in the course of a Scheme year (1 April to 31 March) </w:t>
            </w:r>
          </w:p>
        </w:tc>
        <w:tc>
          <w:tcPr>
            <w:tcW w:w="3288" w:type="dxa"/>
          </w:tcPr>
          <w:p w14:paraId="5AEA2683" w14:textId="13428E70" w:rsidR="008A28DF" w:rsidRPr="00331214" w:rsidRDefault="00BC24B1">
            <w:pPr>
              <w:rPr>
                <w:rFonts w:cs="Calibri"/>
              </w:rPr>
            </w:pPr>
            <w:r>
              <w:rPr>
                <w:rFonts w:cs="Calibri"/>
              </w:rPr>
              <w:t>Seaford</w:t>
            </w:r>
            <w:r w:rsidR="00A97D6B">
              <w:rPr>
                <w:rFonts w:cs="Calibri"/>
              </w:rPr>
              <w:t xml:space="preserve"> Town Council </w:t>
            </w:r>
            <w:r w:rsidR="00CA55A5">
              <w:rPr>
                <w:rFonts w:cs="Calibri"/>
              </w:rPr>
              <w:t>will</w:t>
            </w:r>
            <w:r w:rsidR="00CA55A5" w:rsidRPr="00271242">
              <w:t xml:space="preserve"> </w:t>
            </w:r>
            <w:r w:rsidR="00CA55A5">
              <w:t>a</w:t>
            </w:r>
            <w:r w:rsidR="00CA55A5" w:rsidRPr="00271242">
              <w:t>ssess</w:t>
            </w:r>
            <w:r w:rsidR="00A97D6B" w:rsidRPr="00271242">
              <w:t xml:space="preserve"> pay band</w:t>
            </w:r>
            <w:r w:rsidR="00CA55A5">
              <w:t>s</w:t>
            </w:r>
            <w:r w:rsidR="00A97D6B" w:rsidRPr="00271242">
              <w:t xml:space="preserve"> each April, in line with annual pay awards or incr</w:t>
            </w:r>
            <w:r w:rsidR="00A97D6B">
              <w:t>e</w:t>
            </w:r>
            <w:r w:rsidR="00A97D6B" w:rsidRPr="00271242">
              <w:t>ment</w:t>
            </w:r>
            <w:r w:rsidR="00A97D6B">
              <w:t>s or when there are significant material changes such as promotions or pay awards.</w:t>
            </w:r>
          </w:p>
        </w:tc>
      </w:tr>
      <w:tr w:rsidR="00683994" w:rsidRPr="00331214" w14:paraId="70966166" w14:textId="77777777" w:rsidTr="00683994">
        <w:tc>
          <w:tcPr>
            <w:tcW w:w="1701" w:type="dxa"/>
          </w:tcPr>
          <w:p w14:paraId="63200679" w14:textId="77777777" w:rsidR="008A28DF" w:rsidRPr="00683994" w:rsidRDefault="00E05B1B">
            <w:pPr>
              <w:rPr>
                <w:rFonts w:cs="Calibri"/>
                <w:b/>
              </w:rPr>
            </w:pPr>
            <w:r w:rsidRPr="00683994">
              <w:rPr>
                <w:rFonts w:cs="Calibri"/>
                <w:b/>
              </w:rPr>
              <w:t>R21(4)(a)(iv), R21(4)(b)(iv) and R</w:t>
            </w:r>
            <w:r w:rsidR="005E39FC">
              <w:rPr>
                <w:rFonts w:cs="Calibri"/>
                <w:b/>
              </w:rPr>
              <w:t>2</w:t>
            </w:r>
            <w:r w:rsidRPr="00683994">
              <w:rPr>
                <w:rFonts w:cs="Calibri"/>
                <w:b/>
              </w:rPr>
              <w:t>1(5)</w:t>
            </w:r>
          </w:p>
        </w:tc>
        <w:tc>
          <w:tcPr>
            <w:tcW w:w="4876" w:type="dxa"/>
          </w:tcPr>
          <w:p w14:paraId="5EA54BF6" w14:textId="77777777" w:rsidR="00E05B1B" w:rsidRPr="00683994" w:rsidRDefault="00E05B1B" w:rsidP="00683994">
            <w:pPr>
              <w:jc w:val="both"/>
              <w:rPr>
                <w:rFonts w:eastAsia="Times New Roman" w:cs="Arial"/>
                <w:lang w:val="en" w:eastAsia="en-GB"/>
              </w:rPr>
            </w:pPr>
            <w:r w:rsidRPr="00683994">
              <w:rPr>
                <w:rFonts w:eastAsia="Times New Roman" w:cs="Arial"/>
                <w:lang w:val="en" w:eastAsia="en-GB"/>
              </w:rPr>
              <w:t xml:space="preserve">Whether, when calculating assumed pensionable pay when a member is: </w:t>
            </w:r>
          </w:p>
          <w:p w14:paraId="06600DD0" w14:textId="77777777" w:rsidR="00E05B1B" w:rsidRPr="00683994" w:rsidRDefault="00E05B1B" w:rsidP="00683994">
            <w:pPr>
              <w:pStyle w:val="ListParagraph"/>
              <w:numPr>
                <w:ilvl w:val="0"/>
                <w:numId w:val="1"/>
              </w:numPr>
              <w:ind w:left="313" w:hanging="284"/>
              <w:jc w:val="both"/>
              <w:rPr>
                <w:rFonts w:eastAsia="Times New Roman" w:cs="Arial"/>
                <w:lang w:val="en" w:eastAsia="en-GB"/>
              </w:rPr>
            </w:pPr>
            <w:r w:rsidRPr="00683994">
              <w:rPr>
                <w:rFonts w:eastAsia="Times New Roman" w:cs="Arial"/>
                <w:lang w:val="en" w:eastAsia="en-GB"/>
              </w:rPr>
              <w:t xml:space="preserve">on reduced contractual pay or no pay on due to sickness or injury, or </w:t>
            </w:r>
          </w:p>
          <w:p w14:paraId="2DFE9831" w14:textId="77777777" w:rsidR="00E05B1B" w:rsidRPr="00683994" w:rsidRDefault="00E05B1B" w:rsidP="00683994">
            <w:pPr>
              <w:pStyle w:val="ListParagraph"/>
              <w:numPr>
                <w:ilvl w:val="0"/>
                <w:numId w:val="1"/>
              </w:numPr>
              <w:ind w:left="313" w:hanging="284"/>
              <w:jc w:val="both"/>
              <w:rPr>
                <w:rFonts w:eastAsia="Times New Roman" w:cs="Arial"/>
                <w:lang w:val="en" w:eastAsia="en-GB"/>
              </w:rPr>
            </w:pPr>
            <w:r w:rsidRPr="00683994">
              <w:rPr>
                <w:rFonts w:eastAsia="Times New Roman" w:cs="Arial"/>
                <w:lang w:val="en" w:eastAsia="en-GB"/>
              </w:rPr>
              <w:t xml:space="preserve">absent during ordinary maternity, </w:t>
            </w:r>
            <w:proofErr w:type="gramStart"/>
            <w:r w:rsidRPr="00683994">
              <w:rPr>
                <w:rFonts w:eastAsia="Times New Roman" w:cs="Arial"/>
                <w:lang w:val="en" w:eastAsia="en-GB"/>
              </w:rPr>
              <w:t>paternity</w:t>
            </w:r>
            <w:proofErr w:type="gramEnd"/>
            <w:r w:rsidRPr="00683994">
              <w:rPr>
                <w:rFonts w:eastAsia="Times New Roman" w:cs="Arial"/>
                <w:lang w:val="en" w:eastAsia="en-GB"/>
              </w:rPr>
              <w:t xml:space="preserve"> or adoption leave, or paid shared parental leave, or during paid additional maternity or adoption leave, or </w:t>
            </w:r>
          </w:p>
          <w:p w14:paraId="1B21490C" w14:textId="77777777" w:rsidR="00E05B1B" w:rsidRPr="00683994" w:rsidRDefault="00E05B1B" w:rsidP="00683994">
            <w:pPr>
              <w:pStyle w:val="ListParagraph"/>
              <w:numPr>
                <w:ilvl w:val="0"/>
                <w:numId w:val="1"/>
              </w:numPr>
              <w:ind w:left="313" w:hanging="284"/>
              <w:jc w:val="both"/>
              <w:rPr>
                <w:rFonts w:eastAsia="Times New Roman" w:cs="Arial"/>
                <w:lang w:val="en" w:eastAsia="en-GB"/>
              </w:rPr>
            </w:pPr>
            <w:r w:rsidRPr="00683994">
              <w:rPr>
                <w:rFonts w:eastAsia="Times New Roman" w:cs="Arial"/>
                <w:lang w:val="en" w:eastAsia="en-GB"/>
              </w:rPr>
              <w:t xml:space="preserve">absent on reserve forces service leave, or </w:t>
            </w:r>
          </w:p>
          <w:p w14:paraId="66FC2281" w14:textId="77777777" w:rsidR="00E05B1B" w:rsidRPr="00683994" w:rsidRDefault="00E05B1B" w:rsidP="00683994">
            <w:pPr>
              <w:pStyle w:val="ListParagraph"/>
              <w:numPr>
                <w:ilvl w:val="0"/>
                <w:numId w:val="1"/>
              </w:numPr>
              <w:ind w:left="313" w:hanging="284"/>
              <w:jc w:val="both"/>
              <w:rPr>
                <w:rFonts w:eastAsia="Times New Roman" w:cs="Arial"/>
                <w:lang w:val="en" w:eastAsia="en-GB"/>
              </w:rPr>
            </w:pPr>
            <w:r w:rsidRPr="00683994">
              <w:rPr>
                <w:rFonts w:eastAsia="Times New Roman" w:cs="Arial"/>
                <w:lang w:val="en" w:eastAsia="en-GB"/>
              </w:rPr>
              <w:t xml:space="preserve">retires with a Tier 1 or Tier 2 ill health pension, or </w:t>
            </w:r>
          </w:p>
          <w:p w14:paraId="71C4A433" w14:textId="77777777" w:rsidR="00E05B1B" w:rsidRPr="00683994" w:rsidRDefault="00E05B1B" w:rsidP="00683994">
            <w:pPr>
              <w:pStyle w:val="ListParagraph"/>
              <w:numPr>
                <w:ilvl w:val="0"/>
                <w:numId w:val="1"/>
              </w:numPr>
              <w:ind w:left="313" w:hanging="284"/>
              <w:jc w:val="both"/>
              <w:rPr>
                <w:rFonts w:eastAsia="Times New Roman" w:cs="Arial"/>
                <w:lang w:val="en" w:eastAsia="en-GB"/>
              </w:rPr>
            </w:pPr>
            <w:r w:rsidRPr="00683994">
              <w:rPr>
                <w:rFonts w:eastAsia="Times New Roman" w:cs="Arial"/>
                <w:lang w:val="en" w:eastAsia="en-GB"/>
              </w:rPr>
              <w:t xml:space="preserve">dies in service </w:t>
            </w:r>
          </w:p>
          <w:p w14:paraId="1FDC239A" w14:textId="77777777" w:rsidR="008A28DF" w:rsidRPr="00683994" w:rsidRDefault="00E05B1B" w:rsidP="00683994">
            <w:pPr>
              <w:jc w:val="both"/>
              <w:rPr>
                <w:rFonts w:eastAsia="Times New Roman" w:cs="Arial"/>
                <w:lang w:val="en" w:eastAsia="en-GB"/>
              </w:rPr>
            </w:pPr>
            <w:r w:rsidRPr="00683994">
              <w:rPr>
                <w:rFonts w:eastAsia="Times New Roman" w:cs="Arial"/>
                <w:lang w:val="en" w:eastAsia="en-GB"/>
              </w:rPr>
              <w:t xml:space="preserve">to include in the calculation the amount of any ‘regular lump sum payment’ received by the member in the 12 months preceding the date the absence began or the ill health retirement or death occurred. A ‘regular lump sum payment’ is a payment for which the member’s Scheme employer </w:t>
            </w:r>
            <w:r w:rsidRPr="00683994">
              <w:rPr>
                <w:rFonts w:eastAsia="Times New Roman" w:cs="Arial"/>
                <w:lang w:val="en" w:eastAsia="en-GB"/>
              </w:rPr>
              <w:lastRenderedPageBreak/>
              <w:t>determines there is a reasonable expectation that such a payment would be paid on a regular basis</w:t>
            </w:r>
          </w:p>
        </w:tc>
        <w:tc>
          <w:tcPr>
            <w:tcW w:w="3288" w:type="dxa"/>
          </w:tcPr>
          <w:p w14:paraId="5B4E9426" w14:textId="0CE63D4A" w:rsidR="008A28DF" w:rsidRPr="00331214" w:rsidRDefault="00BC24B1">
            <w:pPr>
              <w:rPr>
                <w:rFonts w:cs="Calibri"/>
              </w:rPr>
            </w:pPr>
            <w:r>
              <w:rPr>
                <w:rFonts w:cs="Calibri"/>
              </w:rPr>
              <w:lastRenderedPageBreak/>
              <w:t>Seaford</w:t>
            </w:r>
            <w:r w:rsidR="00A97D6B">
              <w:rPr>
                <w:rFonts w:cs="Calibri"/>
              </w:rPr>
              <w:t xml:space="preserve"> Town Council does not intend to exercise this discretion.</w:t>
            </w:r>
          </w:p>
        </w:tc>
      </w:tr>
      <w:tr w:rsidR="00683994" w:rsidRPr="00331214" w14:paraId="4DEB6113" w14:textId="77777777" w:rsidTr="00683994">
        <w:tc>
          <w:tcPr>
            <w:tcW w:w="1701" w:type="dxa"/>
          </w:tcPr>
          <w:p w14:paraId="54237FF6" w14:textId="77777777" w:rsidR="00E05B1B" w:rsidRPr="00683994" w:rsidRDefault="00E05B1B">
            <w:pPr>
              <w:rPr>
                <w:rFonts w:cs="Calibri"/>
                <w:b/>
              </w:rPr>
            </w:pPr>
            <w:r w:rsidRPr="00683994">
              <w:rPr>
                <w:rFonts w:cs="Calibri"/>
                <w:b/>
              </w:rPr>
              <w:t>R21(5A) and R21(5B)</w:t>
            </w:r>
          </w:p>
        </w:tc>
        <w:tc>
          <w:tcPr>
            <w:tcW w:w="4876" w:type="dxa"/>
          </w:tcPr>
          <w:p w14:paraId="70F0EE96" w14:textId="77777777" w:rsidR="00E05B1B" w:rsidRPr="00683994" w:rsidRDefault="00E05B1B" w:rsidP="00683994">
            <w:pPr>
              <w:jc w:val="both"/>
              <w:rPr>
                <w:rFonts w:eastAsia="Times New Roman" w:cs="Arial"/>
                <w:lang w:val="en" w:eastAsia="en-GB"/>
              </w:rPr>
            </w:pPr>
            <w:r w:rsidRPr="00683994">
              <w:rPr>
                <w:rFonts w:eastAsia="Times New Roman" w:cs="Arial"/>
                <w:lang w:val="en" w:eastAsia="en-GB"/>
              </w:rPr>
              <w:t xml:space="preserve">When a member is: </w:t>
            </w:r>
          </w:p>
          <w:p w14:paraId="65FDD1BF" w14:textId="77777777" w:rsidR="00E05B1B" w:rsidRPr="00683994" w:rsidRDefault="00E05B1B" w:rsidP="00683994">
            <w:pPr>
              <w:pStyle w:val="ListParagraph"/>
              <w:numPr>
                <w:ilvl w:val="0"/>
                <w:numId w:val="1"/>
              </w:numPr>
              <w:ind w:left="313" w:hanging="284"/>
              <w:jc w:val="both"/>
              <w:rPr>
                <w:rFonts w:eastAsia="Times New Roman" w:cs="Arial"/>
                <w:lang w:val="en" w:eastAsia="en-GB"/>
              </w:rPr>
            </w:pPr>
            <w:r w:rsidRPr="00683994">
              <w:rPr>
                <w:rFonts w:eastAsia="Times New Roman" w:cs="Arial"/>
                <w:lang w:val="en" w:eastAsia="en-GB"/>
              </w:rPr>
              <w:t xml:space="preserve">on reduced contractual pay or no pay due to sickness or injury, or </w:t>
            </w:r>
          </w:p>
          <w:p w14:paraId="556483E5" w14:textId="77777777" w:rsidR="00E05B1B" w:rsidRPr="00683994" w:rsidRDefault="00E05B1B" w:rsidP="00683994">
            <w:pPr>
              <w:pStyle w:val="ListParagraph"/>
              <w:numPr>
                <w:ilvl w:val="0"/>
                <w:numId w:val="1"/>
              </w:numPr>
              <w:ind w:left="313" w:hanging="284"/>
              <w:jc w:val="both"/>
              <w:rPr>
                <w:rFonts w:eastAsia="Times New Roman" w:cs="Arial"/>
                <w:lang w:val="en" w:eastAsia="en-GB"/>
              </w:rPr>
            </w:pPr>
            <w:r w:rsidRPr="00683994">
              <w:rPr>
                <w:rFonts w:eastAsia="Times New Roman" w:cs="Arial"/>
                <w:lang w:val="en" w:eastAsia="en-GB"/>
              </w:rPr>
              <w:t xml:space="preserve">absent during ordinary maternity, </w:t>
            </w:r>
            <w:proofErr w:type="gramStart"/>
            <w:r w:rsidRPr="00683994">
              <w:rPr>
                <w:rFonts w:eastAsia="Times New Roman" w:cs="Arial"/>
                <w:lang w:val="en" w:eastAsia="en-GB"/>
              </w:rPr>
              <w:t>paternity</w:t>
            </w:r>
            <w:proofErr w:type="gramEnd"/>
            <w:r w:rsidRPr="00683994">
              <w:rPr>
                <w:rFonts w:eastAsia="Times New Roman" w:cs="Arial"/>
                <w:lang w:val="en" w:eastAsia="en-GB"/>
              </w:rPr>
              <w:t xml:space="preserve"> or adoption leave, or paid shared parental leave, or during paid additional maternity or adoption leave, or </w:t>
            </w:r>
          </w:p>
          <w:p w14:paraId="0C24DD88" w14:textId="77777777" w:rsidR="00E05B1B" w:rsidRPr="00683994" w:rsidRDefault="00E05B1B" w:rsidP="00683994">
            <w:pPr>
              <w:pStyle w:val="ListParagraph"/>
              <w:numPr>
                <w:ilvl w:val="0"/>
                <w:numId w:val="1"/>
              </w:numPr>
              <w:ind w:left="313" w:hanging="284"/>
              <w:jc w:val="both"/>
              <w:rPr>
                <w:rFonts w:eastAsia="Times New Roman" w:cs="Arial"/>
                <w:lang w:val="en" w:eastAsia="en-GB"/>
              </w:rPr>
            </w:pPr>
            <w:r w:rsidRPr="00683994">
              <w:rPr>
                <w:rFonts w:eastAsia="Times New Roman" w:cs="Arial"/>
                <w:lang w:val="en" w:eastAsia="en-GB"/>
              </w:rPr>
              <w:t xml:space="preserve">absent on reserve forces service leave, or </w:t>
            </w:r>
          </w:p>
          <w:p w14:paraId="7D536F1D" w14:textId="77777777" w:rsidR="00E05B1B" w:rsidRPr="00683994" w:rsidRDefault="00E05B1B" w:rsidP="00683994">
            <w:pPr>
              <w:pStyle w:val="ListParagraph"/>
              <w:numPr>
                <w:ilvl w:val="0"/>
                <w:numId w:val="1"/>
              </w:numPr>
              <w:ind w:left="313" w:hanging="284"/>
              <w:jc w:val="both"/>
              <w:rPr>
                <w:rFonts w:eastAsia="Times New Roman" w:cs="Arial"/>
                <w:lang w:val="en" w:eastAsia="en-GB"/>
              </w:rPr>
            </w:pPr>
            <w:r w:rsidRPr="00683994">
              <w:rPr>
                <w:rFonts w:eastAsia="Times New Roman" w:cs="Arial"/>
                <w:lang w:val="en" w:eastAsia="en-GB"/>
              </w:rPr>
              <w:t xml:space="preserve">retires with a Tier 1 or Tier 2 ill health pension, or </w:t>
            </w:r>
          </w:p>
          <w:p w14:paraId="04DA9B08" w14:textId="77777777" w:rsidR="00E05B1B" w:rsidRPr="00683994" w:rsidRDefault="00E05B1B" w:rsidP="00683994">
            <w:pPr>
              <w:pStyle w:val="ListParagraph"/>
              <w:numPr>
                <w:ilvl w:val="0"/>
                <w:numId w:val="1"/>
              </w:numPr>
              <w:ind w:left="313" w:hanging="284"/>
              <w:jc w:val="both"/>
              <w:rPr>
                <w:rFonts w:eastAsia="Times New Roman" w:cs="Arial"/>
                <w:lang w:val="en" w:eastAsia="en-GB"/>
              </w:rPr>
            </w:pPr>
            <w:r w:rsidRPr="00683994">
              <w:rPr>
                <w:rFonts w:eastAsia="Times New Roman" w:cs="Arial"/>
                <w:lang w:val="en" w:eastAsia="en-GB"/>
              </w:rPr>
              <w:t xml:space="preserve">dies in service </w:t>
            </w:r>
          </w:p>
          <w:p w14:paraId="517A402C" w14:textId="77777777" w:rsidR="00E05B1B" w:rsidRPr="00683994" w:rsidRDefault="00E05B1B" w:rsidP="00683994">
            <w:pPr>
              <w:jc w:val="both"/>
              <w:rPr>
                <w:rFonts w:eastAsia="Times New Roman" w:cs="Arial"/>
                <w:lang w:val="en" w:eastAsia="en-GB"/>
              </w:rPr>
            </w:pPr>
            <w:r w:rsidRPr="00683994">
              <w:rPr>
                <w:rFonts w:eastAsia="Times New Roman" w:cs="Arial"/>
                <w:lang w:val="en" w:eastAsia="en-GB"/>
              </w:rPr>
              <w:t>if, in the Scheme employer’s opinion, the pensionable pay received in relation to an employment (adjusted to reflect any lump sum payments) in the 3 months (or 12 weeks if not paid monthly) preceding the commencement of Assumed Pensionable Pay (APP), is materially lower than the level of pensionable pay the member would have normally received, decide whether to substitute a higher level of pensionable pay when calculating APP, having had regard to the level of pensionable pay received by the member in the previous 12 months</w:t>
            </w:r>
          </w:p>
        </w:tc>
        <w:tc>
          <w:tcPr>
            <w:tcW w:w="3288" w:type="dxa"/>
          </w:tcPr>
          <w:p w14:paraId="59FCAFA6" w14:textId="1BD447B7" w:rsidR="00E05B1B" w:rsidRPr="00331214" w:rsidRDefault="00BC24B1">
            <w:pPr>
              <w:rPr>
                <w:rFonts w:cs="Calibri"/>
              </w:rPr>
            </w:pPr>
            <w:r>
              <w:rPr>
                <w:rFonts w:cs="Calibri"/>
              </w:rPr>
              <w:t>Seaford</w:t>
            </w:r>
            <w:r w:rsidR="008D4A6B">
              <w:rPr>
                <w:rFonts w:cs="Calibri"/>
              </w:rPr>
              <w:t xml:space="preserve"> Town Council does not intend to exercise this discretion.</w:t>
            </w:r>
          </w:p>
        </w:tc>
      </w:tr>
    </w:tbl>
    <w:p w14:paraId="59F7F3B6" w14:textId="77777777" w:rsidR="00424DAC" w:rsidRDefault="00424DAC"/>
    <w:p w14:paraId="184D76D8" w14:textId="77777777" w:rsidR="00683994" w:rsidRDefault="00683994" w:rsidP="00683994">
      <w:pPr>
        <w:spacing w:after="160" w:line="259" w:lineRule="auto"/>
      </w:pPr>
    </w:p>
    <w:sectPr w:rsidR="00683994" w:rsidSect="00E677DB">
      <w:headerReference w:type="default" r:id="rId11"/>
      <w:pgSz w:w="11906" w:h="16838"/>
      <w:pgMar w:top="1440" w:right="1191" w:bottom="96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80EAE" w14:textId="77777777" w:rsidR="00EC4F0F" w:rsidRDefault="00EC4F0F" w:rsidP="0039651E">
      <w:pPr>
        <w:spacing w:after="0" w:line="240" w:lineRule="auto"/>
      </w:pPr>
      <w:r>
        <w:separator/>
      </w:r>
    </w:p>
  </w:endnote>
  <w:endnote w:type="continuationSeparator" w:id="0">
    <w:p w14:paraId="41D07F17" w14:textId="77777777" w:rsidR="00EC4F0F" w:rsidRDefault="00EC4F0F" w:rsidP="00396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48255" w14:textId="77777777" w:rsidR="00EC4F0F" w:rsidRDefault="00EC4F0F" w:rsidP="0039651E">
      <w:pPr>
        <w:spacing w:after="0" w:line="240" w:lineRule="auto"/>
      </w:pPr>
      <w:r>
        <w:separator/>
      </w:r>
    </w:p>
  </w:footnote>
  <w:footnote w:type="continuationSeparator" w:id="0">
    <w:p w14:paraId="0BF94A90" w14:textId="77777777" w:rsidR="00EC4F0F" w:rsidRDefault="00EC4F0F" w:rsidP="00396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C082" w14:textId="5A2DE842" w:rsidR="0039651E" w:rsidRPr="0093578A" w:rsidRDefault="0093578A" w:rsidP="0093578A">
    <w:pPr>
      <w:pStyle w:val="Header"/>
      <w:jc w:val="right"/>
    </w:pPr>
    <w:r w:rsidRPr="00C006E8">
      <w:rPr>
        <w:b/>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D159D"/>
    <w:multiLevelType w:val="hybridMultilevel"/>
    <w:tmpl w:val="EFB0E6CC"/>
    <w:lvl w:ilvl="0" w:tplc="CD90B91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CE6D29"/>
    <w:multiLevelType w:val="hybridMultilevel"/>
    <w:tmpl w:val="34FC0A2C"/>
    <w:lvl w:ilvl="0" w:tplc="AC8E2F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459963">
    <w:abstractNumId w:val="1"/>
  </w:num>
  <w:num w:numId="2" w16cid:durableId="1738627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984"/>
    <w:rsid w:val="000951B2"/>
    <w:rsid w:val="00097B6D"/>
    <w:rsid w:val="00191BDC"/>
    <w:rsid w:val="00331214"/>
    <w:rsid w:val="003506AF"/>
    <w:rsid w:val="0039651E"/>
    <w:rsid w:val="00424DAC"/>
    <w:rsid w:val="00471DE1"/>
    <w:rsid w:val="00544922"/>
    <w:rsid w:val="00546829"/>
    <w:rsid w:val="005E39FC"/>
    <w:rsid w:val="00683994"/>
    <w:rsid w:val="006D090D"/>
    <w:rsid w:val="008251F8"/>
    <w:rsid w:val="0086227D"/>
    <w:rsid w:val="008A28DF"/>
    <w:rsid w:val="008D4A6B"/>
    <w:rsid w:val="009115B9"/>
    <w:rsid w:val="0093578A"/>
    <w:rsid w:val="00955984"/>
    <w:rsid w:val="009A149D"/>
    <w:rsid w:val="009C0536"/>
    <w:rsid w:val="00A97D6B"/>
    <w:rsid w:val="00AA23B0"/>
    <w:rsid w:val="00B45E58"/>
    <w:rsid w:val="00BC24B1"/>
    <w:rsid w:val="00CA55A5"/>
    <w:rsid w:val="00D93D95"/>
    <w:rsid w:val="00E05B1B"/>
    <w:rsid w:val="00E53C55"/>
    <w:rsid w:val="00E677DB"/>
    <w:rsid w:val="00EC4F0F"/>
    <w:rsid w:val="00FC0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5C201"/>
  <w15:chartTrackingRefBased/>
  <w15:docId w15:val="{1F982188-645A-4E95-8C3A-604788C1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8D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2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28D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677DB"/>
    <w:pPr>
      <w:tabs>
        <w:tab w:val="center" w:pos="4153"/>
        <w:tab w:val="right" w:pos="8306"/>
      </w:tabs>
      <w:spacing w:after="0" w:line="240" w:lineRule="auto"/>
    </w:pPr>
    <w:rPr>
      <w:rFonts w:ascii="Times New Roman" w:eastAsia="Times New Roman" w:hAnsi="Times New Roman"/>
      <w:sz w:val="24"/>
      <w:szCs w:val="24"/>
      <w:lang w:eastAsia="en-GB"/>
    </w:rPr>
  </w:style>
  <w:style w:type="character" w:customStyle="1" w:styleId="HeaderChar">
    <w:name w:val="Header Char"/>
    <w:basedOn w:val="DefaultParagraphFont"/>
    <w:link w:val="Header"/>
    <w:uiPriority w:val="99"/>
    <w:rsid w:val="00E677DB"/>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83994"/>
    <w:pPr>
      <w:ind w:left="720"/>
      <w:contextualSpacing/>
    </w:pPr>
  </w:style>
  <w:style w:type="paragraph" w:styleId="Footer">
    <w:name w:val="footer"/>
    <w:basedOn w:val="Normal"/>
    <w:link w:val="FooterChar"/>
    <w:uiPriority w:val="99"/>
    <w:unhideWhenUsed/>
    <w:rsid w:val="003965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51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653014">
      <w:bodyDiv w:val="1"/>
      <w:marLeft w:val="0"/>
      <w:marRight w:val="0"/>
      <w:marTop w:val="0"/>
      <w:marBottom w:val="0"/>
      <w:divBdr>
        <w:top w:val="none" w:sz="0" w:space="0" w:color="auto"/>
        <w:left w:val="none" w:sz="0" w:space="0" w:color="auto"/>
        <w:bottom w:val="none" w:sz="0" w:space="0" w:color="auto"/>
        <w:right w:val="none" w:sz="0" w:space="0" w:color="auto"/>
      </w:divBdr>
    </w:div>
    <w:div w:id="1016465703">
      <w:bodyDiv w:val="1"/>
      <w:marLeft w:val="0"/>
      <w:marRight w:val="0"/>
      <w:marTop w:val="0"/>
      <w:marBottom w:val="0"/>
      <w:divBdr>
        <w:top w:val="none" w:sz="0" w:space="0" w:color="auto"/>
        <w:left w:val="none" w:sz="0" w:space="0" w:color="auto"/>
        <w:bottom w:val="none" w:sz="0" w:space="0" w:color="auto"/>
        <w:right w:val="none" w:sz="0" w:space="0" w:color="auto"/>
      </w:divBdr>
    </w:div>
    <w:div w:id="1641691193">
      <w:bodyDiv w:val="1"/>
      <w:marLeft w:val="0"/>
      <w:marRight w:val="0"/>
      <w:marTop w:val="0"/>
      <w:marBottom w:val="0"/>
      <w:divBdr>
        <w:top w:val="none" w:sz="0" w:space="0" w:color="auto"/>
        <w:left w:val="none" w:sz="0" w:space="0" w:color="auto"/>
        <w:bottom w:val="none" w:sz="0" w:space="0" w:color="auto"/>
        <w:right w:val="none" w:sz="0" w:space="0" w:color="auto"/>
      </w:divBdr>
    </w:div>
    <w:div w:id="177250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037712A07E44A9D01224D4B6CEDC4" ma:contentTypeVersion="14" ma:contentTypeDescription="Create a new document." ma:contentTypeScope="" ma:versionID="997621fb30f00a7ae1ae82958af547f2">
  <xsd:schema xmlns:xsd="http://www.w3.org/2001/XMLSchema" xmlns:xs="http://www.w3.org/2001/XMLSchema" xmlns:p="http://schemas.microsoft.com/office/2006/metadata/properties" xmlns:ns3="9285eb14-a455-4c6a-9f1b-df6e37fc41b9" xmlns:ns4="b10eb608-c94a-4248-88a2-3b7660aca961" targetNamespace="http://schemas.microsoft.com/office/2006/metadata/properties" ma:root="true" ma:fieldsID="1a2ae97a5bcfb8135b9b063e664344ea" ns3:_="" ns4:_="">
    <xsd:import namespace="9285eb14-a455-4c6a-9f1b-df6e37fc41b9"/>
    <xsd:import namespace="b10eb608-c94a-4248-88a2-3b7660aca9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5eb14-a455-4c6a-9f1b-df6e37fc41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eb608-c94a-4248-88a2-3b7660aca9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28C937-CD25-45E3-80FE-FE0A1013D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5eb14-a455-4c6a-9f1b-df6e37fc41b9"/>
    <ds:schemaRef ds:uri="b10eb608-c94a-4248-88a2-3b7660ac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EE491-0455-41C6-828E-6F630744960A}">
  <ds:schemaRefs>
    <ds:schemaRef ds:uri="http://schemas.microsoft.com/sharepoint/v3/contenttype/forms"/>
  </ds:schemaRefs>
</ds:datastoreItem>
</file>

<file path=customXml/itemProps3.xml><?xml version="1.0" encoding="utf-8"?>
<ds:datastoreItem xmlns:ds="http://schemas.openxmlformats.org/officeDocument/2006/customXml" ds:itemID="{DBC57F82-BD6E-4ABD-8670-2EEBC635D46D}">
  <ds:schemaRefs>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b10eb608-c94a-4248-88a2-3b7660aca961"/>
    <ds:schemaRef ds:uri="http://schemas.openxmlformats.org/package/2006/metadata/core-properties"/>
    <ds:schemaRef ds:uri="http://schemas.microsoft.com/office/infopath/2007/PartnerControls"/>
    <ds:schemaRef ds:uri="9285eb14-a455-4c6a-9f1b-df6e37fc41b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Hymans Robertson</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Singleton</dc:creator>
  <cp:keywords/>
  <dc:description/>
  <cp:lastModifiedBy>Becky Terry</cp:lastModifiedBy>
  <cp:revision>2</cp:revision>
  <dcterms:created xsi:type="dcterms:W3CDTF">2022-10-20T11:03:00Z</dcterms:created>
  <dcterms:modified xsi:type="dcterms:W3CDTF">2022-10-20T11:03:00Z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0x010100ECE037712A07E44A9D01224D4B6CEDC4</vt:lpwstr>
  </property>
</Properties>
</file>