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6306A" w14:textId="77777777" w:rsidR="00AB4D90" w:rsidRPr="0026214F" w:rsidRDefault="00AB4D90" w:rsidP="00AB4D90">
      <w:pPr>
        <w:spacing w:line="360" w:lineRule="auto"/>
        <w:rPr>
          <w:rFonts w:ascii="Arial" w:hAnsi="Arial" w:cs="Arial"/>
          <w:b/>
          <w:bCs/>
          <w:sz w:val="28"/>
          <w:szCs w:val="28"/>
          <w:lang w:val="en-US"/>
        </w:rPr>
      </w:pPr>
      <w:r>
        <w:rPr>
          <w:rFonts w:ascii="Arial" w:hAnsi="Arial" w:cs="Arial"/>
          <w:b/>
          <w:bCs/>
          <w:sz w:val="28"/>
          <w:szCs w:val="28"/>
          <w:lang w:val="en-US"/>
        </w:rPr>
        <w:t>SF2</w:t>
      </w:r>
      <w:r w:rsidRPr="0026214F">
        <w:rPr>
          <w:rFonts w:ascii="Arial" w:hAnsi="Arial" w:cs="Arial"/>
          <w:b/>
          <w:bCs/>
          <w:sz w:val="28"/>
          <w:szCs w:val="28"/>
          <w:lang w:val="en-US"/>
        </w:rPr>
        <w:t xml:space="preserve"> – </w:t>
      </w:r>
      <w:r>
        <w:rPr>
          <w:rFonts w:ascii="Arial" w:hAnsi="Arial" w:cs="Arial"/>
          <w:b/>
          <w:bCs/>
          <w:sz w:val="28"/>
          <w:szCs w:val="28"/>
          <w:lang w:val="en-US"/>
        </w:rPr>
        <w:t>St John’s School</w:t>
      </w:r>
    </w:p>
    <w:p w14:paraId="660C2CCB" w14:textId="77777777" w:rsidR="00AB4D90" w:rsidRDefault="00AB4D90" w:rsidP="00AB4D90">
      <w:pPr>
        <w:spacing w:line="360" w:lineRule="auto"/>
        <w:rPr>
          <w:rFonts w:ascii="Arial" w:hAnsi="Arial" w:cs="Arial"/>
          <w:sz w:val="24"/>
          <w:szCs w:val="24"/>
        </w:rPr>
      </w:pPr>
      <w:r w:rsidRPr="0065346E">
        <w:rPr>
          <w:rFonts w:ascii="Arial" w:hAnsi="Arial" w:cs="Arial"/>
          <w:b/>
          <w:bCs/>
          <w:sz w:val="24"/>
          <w:szCs w:val="24"/>
          <w:lang w:val="en-US"/>
        </w:rPr>
        <w:t>Response:</w:t>
      </w:r>
      <w:r>
        <w:rPr>
          <w:rFonts w:ascii="Arial" w:hAnsi="Arial" w:cs="Arial"/>
          <w:sz w:val="24"/>
          <w:szCs w:val="24"/>
          <w:lang w:val="en-US"/>
        </w:rPr>
        <w:t xml:space="preserve"> </w:t>
      </w:r>
      <w:r w:rsidRPr="005B0D18">
        <w:rPr>
          <w:rFonts w:ascii="Arial" w:hAnsi="Arial" w:cs="Arial"/>
          <w:sz w:val="24"/>
          <w:szCs w:val="24"/>
        </w:rPr>
        <w:t>Seaford Town Council recognises the potential for redevelopment of part of the St John’s School site. However, the current proposal for 40 dwellings is excessive, inconsistent with the Area of Established Character (AEC), harmful to local infrastructure, and unsupported by transport, design, or environmental evidence. The Town Council therefore strongly objects to the SF2 allocation as drafted and requests its amendment to a significantly reduced and policy-compliant scale.</w:t>
      </w:r>
    </w:p>
    <w:p w14:paraId="7C1F6339" w14:textId="77777777" w:rsidR="00AB4D90" w:rsidRDefault="00AB4D90" w:rsidP="00AB4D90">
      <w:pPr>
        <w:spacing w:line="360" w:lineRule="auto"/>
        <w:rPr>
          <w:rFonts w:ascii="Arial" w:hAnsi="Arial" w:cs="Arial"/>
          <w:sz w:val="24"/>
          <w:szCs w:val="24"/>
        </w:rPr>
      </w:pPr>
      <w:r w:rsidRPr="0065346E">
        <w:rPr>
          <w:rFonts w:ascii="Arial" w:hAnsi="Arial" w:cs="Arial"/>
          <w:b/>
          <w:bCs/>
          <w:sz w:val="24"/>
          <w:szCs w:val="24"/>
        </w:rPr>
        <w:t>Evidence:</w:t>
      </w:r>
    </w:p>
    <w:p w14:paraId="5B2E8F18"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 xml:space="preserve">1. </w:t>
      </w:r>
      <w:r w:rsidRPr="00663BD8">
        <w:rPr>
          <w:rFonts w:ascii="Arial" w:hAnsi="Arial" w:cs="Arial"/>
          <w:b/>
          <w:bCs/>
          <w:sz w:val="24"/>
          <w:szCs w:val="24"/>
        </w:rPr>
        <w:t xml:space="preserve">The Allocation Fails </w:t>
      </w:r>
      <w:r>
        <w:rPr>
          <w:rFonts w:ascii="Arial" w:hAnsi="Arial" w:cs="Arial"/>
          <w:b/>
          <w:bCs/>
          <w:sz w:val="24"/>
          <w:szCs w:val="24"/>
        </w:rPr>
        <w:t>Multiple</w:t>
      </w:r>
      <w:r w:rsidRPr="00663BD8">
        <w:rPr>
          <w:rFonts w:ascii="Arial" w:hAnsi="Arial" w:cs="Arial"/>
          <w:b/>
          <w:bCs/>
          <w:sz w:val="24"/>
          <w:szCs w:val="24"/>
        </w:rPr>
        <w:t xml:space="preserve"> Tests of Soundness</w:t>
      </w:r>
    </w:p>
    <w:p w14:paraId="243482A2"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Not Justified</w:t>
      </w:r>
      <w:r>
        <w:rPr>
          <w:rFonts w:ascii="Arial" w:hAnsi="Arial" w:cs="Arial"/>
          <w:b/>
          <w:bCs/>
          <w:sz w:val="24"/>
          <w:szCs w:val="24"/>
        </w:rPr>
        <w:t>:</w:t>
      </w:r>
    </w:p>
    <w:p w14:paraId="0D843E72"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The proposed density does not reflect the AEC, the established pattern of development, or the physical capacity of the site. No evidence is provided by LDC to justify housing at over three times the density of surrounding development.</w:t>
      </w:r>
    </w:p>
    <w:p w14:paraId="255C5ABB"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Not Effective</w:t>
      </w:r>
      <w:r>
        <w:rPr>
          <w:rFonts w:ascii="Arial" w:hAnsi="Arial" w:cs="Arial"/>
          <w:b/>
          <w:bCs/>
          <w:sz w:val="24"/>
          <w:szCs w:val="24"/>
        </w:rPr>
        <w:t>:</w:t>
      </w:r>
    </w:p>
    <w:p w14:paraId="63117E11"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The site cannot be safely or sustainably accessed at the proposed scale, nor is there evidence the infrastructure burden (transport, drainage, healthcare) can be accommodated.</w:t>
      </w:r>
    </w:p>
    <w:p w14:paraId="311E2C9E"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Not Consistent with National Policy</w:t>
      </w:r>
      <w:r>
        <w:rPr>
          <w:rFonts w:ascii="Arial" w:hAnsi="Arial" w:cs="Arial"/>
          <w:b/>
          <w:bCs/>
          <w:sz w:val="24"/>
          <w:szCs w:val="24"/>
        </w:rPr>
        <w:t>:</w:t>
      </w:r>
    </w:p>
    <w:p w14:paraId="6DA26617"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The proposal fails to conserve local character, ensure safe access, promote sustainable transport, protect biodiversity, or secure healthy living conditions—all requirements of NPPF Chapters 8, 9, 12, and 15.</w:t>
      </w:r>
    </w:p>
    <w:p w14:paraId="0A335F25"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2. Density and Area of Established Character (AEC)</w:t>
      </w:r>
    </w:p>
    <w:p w14:paraId="6FD5B95F"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2.1 Proposal Conflicts with AEC Principles</w:t>
      </w:r>
    </w:p>
    <w:p w14:paraId="753574C8" w14:textId="77777777" w:rsidR="00AB4D90" w:rsidRPr="00041815" w:rsidRDefault="00AB4D90" w:rsidP="00AB4D90">
      <w:pPr>
        <w:pStyle w:val="ListParagraph"/>
        <w:numPr>
          <w:ilvl w:val="0"/>
          <w:numId w:val="4"/>
        </w:numPr>
        <w:spacing w:line="360" w:lineRule="auto"/>
        <w:rPr>
          <w:rFonts w:ascii="Arial" w:hAnsi="Arial" w:cs="Arial"/>
          <w:sz w:val="24"/>
          <w:szCs w:val="24"/>
        </w:rPr>
      </w:pPr>
      <w:r w:rsidRPr="00041815">
        <w:rPr>
          <w:rFonts w:ascii="Arial" w:hAnsi="Arial" w:cs="Arial"/>
          <w:sz w:val="24"/>
          <w:szCs w:val="24"/>
        </w:rPr>
        <w:t xml:space="preserve">The proposed 40 dwellings </w:t>
      </w:r>
      <w:proofErr w:type="gramStart"/>
      <w:r w:rsidRPr="00041815">
        <w:rPr>
          <w:rFonts w:ascii="Arial" w:hAnsi="Arial" w:cs="Arial"/>
          <w:sz w:val="24"/>
          <w:szCs w:val="24"/>
        </w:rPr>
        <w:t>produce</w:t>
      </w:r>
      <w:r>
        <w:rPr>
          <w:rFonts w:ascii="Arial" w:hAnsi="Arial" w:cs="Arial"/>
          <w:sz w:val="24"/>
          <w:szCs w:val="24"/>
        </w:rPr>
        <w:t>s</w:t>
      </w:r>
      <w:proofErr w:type="gramEnd"/>
      <w:r w:rsidRPr="00041815">
        <w:rPr>
          <w:rFonts w:ascii="Arial" w:hAnsi="Arial" w:cs="Arial"/>
          <w:sz w:val="24"/>
          <w:szCs w:val="24"/>
        </w:rPr>
        <w:t xml:space="preserve"> a net density of 24.24 d</w:t>
      </w:r>
      <w:r>
        <w:rPr>
          <w:rFonts w:ascii="Arial" w:hAnsi="Arial" w:cs="Arial"/>
          <w:sz w:val="24"/>
          <w:szCs w:val="24"/>
        </w:rPr>
        <w:t>wellings per hectare (</w:t>
      </w:r>
      <w:proofErr w:type="spellStart"/>
      <w:r>
        <w:rPr>
          <w:rFonts w:ascii="Arial" w:hAnsi="Arial" w:cs="Arial"/>
          <w:sz w:val="24"/>
          <w:szCs w:val="24"/>
        </w:rPr>
        <w:t>d</w:t>
      </w:r>
      <w:r w:rsidRPr="00041815">
        <w:rPr>
          <w:rFonts w:ascii="Arial" w:hAnsi="Arial" w:cs="Arial"/>
          <w:sz w:val="24"/>
          <w:szCs w:val="24"/>
        </w:rPr>
        <w:t>ph</w:t>
      </w:r>
      <w:proofErr w:type="spellEnd"/>
      <w:r>
        <w:rPr>
          <w:rFonts w:ascii="Arial" w:hAnsi="Arial" w:cs="Arial"/>
          <w:sz w:val="24"/>
          <w:szCs w:val="24"/>
        </w:rPr>
        <w:t>)</w:t>
      </w:r>
      <w:r w:rsidRPr="00041815">
        <w:rPr>
          <w:rFonts w:ascii="Arial" w:hAnsi="Arial" w:cs="Arial"/>
          <w:sz w:val="24"/>
          <w:szCs w:val="24"/>
        </w:rPr>
        <w:t xml:space="preserve">, more than double the adjacent Firle Grange (11.2 </w:t>
      </w:r>
      <w:proofErr w:type="spellStart"/>
      <w:r w:rsidRPr="00041815">
        <w:rPr>
          <w:rFonts w:ascii="Arial" w:hAnsi="Arial" w:cs="Arial"/>
          <w:sz w:val="24"/>
          <w:szCs w:val="24"/>
        </w:rPr>
        <w:t>dph</w:t>
      </w:r>
      <w:proofErr w:type="spellEnd"/>
      <w:r w:rsidRPr="00041815">
        <w:rPr>
          <w:rFonts w:ascii="Arial" w:hAnsi="Arial" w:cs="Arial"/>
          <w:sz w:val="24"/>
          <w:szCs w:val="24"/>
        </w:rPr>
        <w:t xml:space="preserve">) and the nearby Bowden Rise development (11.6 </w:t>
      </w:r>
      <w:proofErr w:type="spellStart"/>
      <w:r w:rsidRPr="00041815">
        <w:rPr>
          <w:rFonts w:ascii="Arial" w:hAnsi="Arial" w:cs="Arial"/>
          <w:sz w:val="24"/>
          <w:szCs w:val="24"/>
        </w:rPr>
        <w:t>dph</w:t>
      </w:r>
      <w:proofErr w:type="spellEnd"/>
      <w:r w:rsidRPr="00041815">
        <w:rPr>
          <w:rFonts w:ascii="Arial" w:hAnsi="Arial" w:cs="Arial"/>
          <w:sz w:val="24"/>
          <w:szCs w:val="24"/>
        </w:rPr>
        <w:t>).</w:t>
      </w:r>
    </w:p>
    <w:p w14:paraId="1ECE25DA" w14:textId="77777777" w:rsidR="00AB4D90" w:rsidRPr="00041815" w:rsidRDefault="00AB4D90" w:rsidP="00AB4D90">
      <w:pPr>
        <w:pStyle w:val="ListParagraph"/>
        <w:numPr>
          <w:ilvl w:val="0"/>
          <w:numId w:val="4"/>
        </w:numPr>
        <w:spacing w:line="360" w:lineRule="auto"/>
        <w:rPr>
          <w:rFonts w:ascii="Arial" w:hAnsi="Arial" w:cs="Arial"/>
          <w:sz w:val="24"/>
          <w:szCs w:val="24"/>
        </w:rPr>
      </w:pPr>
      <w:r w:rsidRPr="00041815">
        <w:rPr>
          <w:rFonts w:ascii="Arial" w:hAnsi="Arial" w:cs="Arial"/>
          <w:sz w:val="24"/>
          <w:szCs w:val="24"/>
        </w:rPr>
        <w:t>The AEC designation requires continuity of character, not intensification.</w:t>
      </w:r>
    </w:p>
    <w:p w14:paraId="658EE626" w14:textId="77777777" w:rsidR="00AB4D90" w:rsidRPr="00041815" w:rsidRDefault="00AB4D90" w:rsidP="00AB4D90">
      <w:pPr>
        <w:pStyle w:val="ListParagraph"/>
        <w:numPr>
          <w:ilvl w:val="0"/>
          <w:numId w:val="4"/>
        </w:numPr>
        <w:spacing w:line="360" w:lineRule="auto"/>
        <w:rPr>
          <w:rFonts w:ascii="Arial" w:hAnsi="Arial" w:cs="Arial"/>
          <w:sz w:val="24"/>
          <w:szCs w:val="24"/>
        </w:rPr>
      </w:pPr>
      <w:r w:rsidRPr="00041815">
        <w:rPr>
          <w:rFonts w:ascii="Arial" w:hAnsi="Arial" w:cs="Arial"/>
          <w:sz w:val="24"/>
          <w:szCs w:val="24"/>
        </w:rPr>
        <w:lastRenderedPageBreak/>
        <w:t xml:space="preserve">The </w:t>
      </w:r>
      <w:r>
        <w:rPr>
          <w:rFonts w:ascii="Arial" w:hAnsi="Arial" w:cs="Arial"/>
          <w:sz w:val="24"/>
          <w:szCs w:val="24"/>
        </w:rPr>
        <w:t xml:space="preserve">Town </w:t>
      </w:r>
      <w:r w:rsidRPr="00041815">
        <w:rPr>
          <w:rFonts w:ascii="Arial" w:hAnsi="Arial" w:cs="Arial"/>
          <w:sz w:val="24"/>
          <w:szCs w:val="24"/>
        </w:rPr>
        <w:t xml:space="preserve">Council’s own evidence shows </w:t>
      </w:r>
      <w:r w:rsidRPr="003462B4">
        <w:rPr>
          <w:rFonts w:ascii="Arial" w:hAnsi="Arial" w:cs="Arial"/>
          <w:sz w:val="24"/>
          <w:szCs w:val="24"/>
        </w:rPr>
        <w:t>that only 18–19 homes would</w:t>
      </w:r>
      <w:r w:rsidRPr="00041815">
        <w:rPr>
          <w:rFonts w:ascii="Arial" w:hAnsi="Arial" w:cs="Arial"/>
          <w:sz w:val="24"/>
          <w:szCs w:val="24"/>
        </w:rPr>
        <w:t xml:space="preserve"> fall within the acceptable density envelope for the 1.65 ha developable area.</w:t>
      </w:r>
    </w:p>
    <w:p w14:paraId="3620245C"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 xml:space="preserve">2.2 </w:t>
      </w:r>
      <w:r>
        <w:rPr>
          <w:rFonts w:ascii="Arial" w:hAnsi="Arial" w:cs="Arial"/>
          <w:b/>
          <w:bCs/>
          <w:sz w:val="24"/>
          <w:szCs w:val="24"/>
        </w:rPr>
        <w:t>Incorrect</w:t>
      </w:r>
      <w:r w:rsidRPr="00E77CC3">
        <w:rPr>
          <w:rFonts w:ascii="Arial" w:hAnsi="Arial" w:cs="Arial"/>
          <w:b/>
          <w:bCs/>
          <w:sz w:val="24"/>
          <w:szCs w:val="24"/>
        </w:rPr>
        <w:t xml:space="preserve"> Density Calculation</w:t>
      </w:r>
    </w:p>
    <w:p w14:paraId="0A1FAE20"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 xml:space="preserve">LDC’s density calculation inaccurately includes the 1.15 ha </w:t>
      </w:r>
      <w:r>
        <w:rPr>
          <w:rFonts w:ascii="Arial" w:hAnsi="Arial" w:cs="Arial"/>
          <w:sz w:val="24"/>
          <w:szCs w:val="24"/>
        </w:rPr>
        <w:t xml:space="preserve">of </w:t>
      </w:r>
      <w:r w:rsidRPr="00E77CC3">
        <w:rPr>
          <w:rFonts w:ascii="Arial" w:hAnsi="Arial" w:cs="Arial"/>
          <w:sz w:val="24"/>
          <w:szCs w:val="24"/>
        </w:rPr>
        <w:t xml:space="preserve">recreational </w:t>
      </w:r>
      <w:r>
        <w:rPr>
          <w:rFonts w:ascii="Arial" w:hAnsi="Arial" w:cs="Arial"/>
          <w:sz w:val="24"/>
          <w:szCs w:val="24"/>
        </w:rPr>
        <w:t>space</w:t>
      </w:r>
      <w:r w:rsidRPr="00E77CC3">
        <w:rPr>
          <w:rFonts w:ascii="Arial" w:hAnsi="Arial" w:cs="Arial"/>
          <w:sz w:val="24"/>
          <w:szCs w:val="24"/>
        </w:rPr>
        <w:t xml:space="preserve">, which is non-developable and intended for </w:t>
      </w:r>
      <w:r>
        <w:rPr>
          <w:rFonts w:ascii="Arial" w:hAnsi="Arial" w:cs="Arial"/>
          <w:sz w:val="24"/>
          <w:szCs w:val="24"/>
        </w:rPr>
        <w:t xml:space="preserve">wider </w:t>
      </w:r>
      <w:r w:rsidRPr="00E77CC3">
        <w:rPr>
          <w:rFonts w:ascii="Arial" w:hAnsi="Arial" w:cs="Arial"/>
          <w:sz w:val="24"/>
          <w:szCs w:val="24"/>
        </w:rPr>
        <w:t xml:space="preserve">public use. Only the brownfield portion </w:t>
      </w:r>
      <w:r>
        <w:rPr>
          <w:rFonts w:ascii="Arial" w:hAnsi="Arial" w:cs="Arial"/>
          <w:sz w:val="24"/>
          <w:szCs w:val="24"/>
        </w:rPr>
        <w:t xml:space="preserve">of the site </w:t>
      </w:r>
      <w:r w:rsidRPr="00E77CC3">
        <w:rPr>
          <w:rFonts w:ascii="Arial" w:hAnsi="Arial" w:cs="Arial"/>
          <w:sz w:val="24"/>
          <w:szCs w:val="24"/>
        </w:rPr>
        <w:t>should be used for density calculations.</w:t>
      </w:r>
    </w:p>
    <w:p w14:paraId="7C67A6C9"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3. Community Recreational Use – Insufficient Assurance and Ambiguity</w:t>
      </w:r>
    </w:p>
    <w:p w14:paraId="2F7670D2"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3.1 Recreational Space Must Be Protected via Policy and s106</w:t>
      </w:r>
    </w:p>
    <w:p w14:paraId="6DD2EF3E"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 xml:space="preserve">The 1.15 ha </w:t>
      </w:r>
      <w:r>
        <w:rPr>
          <w:rFonts w:ascii="Arial" w:hAnsi="Arial" w:cs="Arial"/>
          <w:sz w:val="24"/>
          <w:szCs w:val="24"/>
        </w:rPr>
        <w:t xml:space="preserve">of </w:t>
      </w:r>
      <w:r w:rsidRPr="00E77CC3">
        <w:rPr>
          <w:rFonts w:ascii="Arial" w:hAnsi="Arial" w:cs="Arial"/>
          <w:sz w:val="24"/>
          <w:szCs w:val="24"/>
        </w:rPr>
        <w:t>open space:</w:t>
      </w:r>
    </w:p>
    <w:p w14:paraId="50311E40" w14:textId="77777777" w:rsidR="00AB4D90" w:rsidRPr="003462B4" w:rsidRDefault="00AB4D90" w:rsidP="00AB4D90">
      <w:pPr>
        <w:pStyle w:val="ListParagraph"/>
        <w:numPr>
          <w:ilvl w:val="0"/>
          <w:numId w:val="5"/>
        </w:numPr>
        <w:spacing w:line="360" w:lineRule="auto"/>
        <w:rPr>
          <w:rFonts w:ascii="Arial" w:hAnsi="Arial" w:cs="Arial"/>
          <w:sz w:val="24"/>
          <w:szCs w:val="24"/>
        </w:rPr>
      </w:pPr>
      <w:r w:rsidRPr="003462B4">
        <w:rPr>
          <w:rFonts w:ascii="Arial" w:hAnsi="Arial" w:cs="Arial"/>
          <w:sz w:val="24"/>
          <w:szCs w:val="24"/>
        </w:rPr>
        <w:t>must be excluded from density calculations,</w:t>
      </w:r>
    </w:p>
    <w:p w14:paraId="0762597E" w14:textId="77777777" w:rsidR="00AB4D90" w:rsidRPr="0058277D" w:rsidRDefault="00AB4D90" w:rsidP="00AB4D90">
      <w:pPr>
        <w:pStyle w:val="ListParagraph"/>
        <w:numPr>
          <w:ilvl w:val="0"/>
          <w:numId w:val="5"/>
        </w:numPr>
        <w:spacing w:line="360" w:lineRule="auto"/>
        <w:rPr>
          <w:rFonts w:ascii="Arial" w:hAnsi="Arial" w:cs="Arial"/>
          <w:sz w:val="24"/>
          <w:szCs w:val="24"/>
        </w:rPr>
      </w:pPr>
      <w:r w:rsidRPr="003462B4">
        <w:rPr>
          <w:rFonts w:ascii="Arial" w:hAnsi="Arial" w:cs="Arial"/>
          <w:sz w:val="24"/>
          <w:szCs w:val="24"/>
        </w:rPr>
        <w:t xml:space="preserve">should </w:t>
      </w:r>
      <w:r w:rsidRPr="0058277D">
        <w:rPr>
          <w:rFonts w:ascii="Arial" w:hAnsi="Arial" w:cs="Arial"/>
          <w:sz w:val="24"/>
          <w:szCs w:val="24"/>
        </w:rPr>
        <w:t>be treated as Local Green Space due to long-standing community use, and</w:t>
      </w:r>
    </w:p>
    <w:p w14:paraId="630FDAE3" w14:textId="77777777" w:rsidR="00AB4D90" w:rsidRPr="0058277D" w:rsidRDefault="00AB4D90" w:rsidP="00AB4D90">
      <w:pPr>
        <w:pStyle w:val="ListParagraph"/>
        <w:numPr>
          <w:ilvl w:val="0"/>
          <w:numId w:val="5"/>
        </w:numPr>
        <w:spacing w:line="360" w:lineRule="auto"/>
        <w:rPr>
          <w:rFonts w:ascii="Arial" w:hAnsi="Arial" w:cs="Arial"/>
          <w:sz w:val="24"/>
          <w:szCs w:val="24"/>
        </w:rPr>
      </w:pPr>
      <w:r w:rsidRPr="0058277D">
        <w:rPr>
          <w:rFonts w:ascii="Arial" w:hAnsi="Arial" w:cs="Arial"/>
          <w:sz w:val="24"/>
          <w:szCs w:val="24"/>
        </w:rPr>
        <w:t>must be secured through a legally binding s106 agreement to ensure ownership, access, and long-term management.</w:t>
      </w:r>
    </w:p>
    <w:p w14:paraId="724D256E"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3.2 Seaford’s Severe Recreational Deficit</w:t>
      </w:r>
    </w:p>
    <w:p w14:paraId="14A1ED8A"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Seaford has an established shortage of playing pitch provision, evidenced by LDC’s inability—over 5 years—to find a site for the £350,000 Newlands s106 contribution. This site offers one of the only viable opportunities to provide a full-sized sports pitch.</w:t>
      </w:r>
    </w:p>
    <w:p w14:paraId="23229549"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 xml:space="preserve">3.3 </w:t>
      </w:r>
      <w:r>
        <w:rPr>
          <w:rFonts w:ascii="Arial" w:hAnsi="Arial" w:cs="Arial"/>
          <w:b/>
          <w:bCs/>
          <w:sz w:val="24"/>
          <w:szCs w:val="24"/>
        </w:rPr>
        <w:tab/>
      </w:r>
      <w:r w:rsidRPr="00E77CC3">
        <w:rPr>
          <w:rFonts w:ascii="Arial" w:hAnsi="Arial" w:cs="Arial"/>
          <w:b/>
          <w:bCs/>
          <w:sz w:val="24"/>
          <w:szCs w:val="24"/>
        </w:rPr>
        <w:t>Use Must Be Specified</w:t>
      </w:r>
    </w:p>
    <w:p w14:paraId="00C5D64F"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The open space must be designated for field sports, not left vague, to ensure capacity for formal recreation that the surrounding area lacks.</w:t>
      </w:r>
    </w:p>
    <w:p w14:paraId="40BB3E6F"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 xml:space="preserve">4. </w:t>
      </w:r>
      <w:r>
        <w:rPr>
          <w:rFonts w:ascii="Arial" w:hAnsi="Arial" w:cs="Arial"/>
          <w:b/>
          <w:bCs/>
          <w:sz w:val="24"/>
          <w:szCs w:val="24"/>
        </w:rPr>
        <w:tab/>
      </w:r>
      <w:r w:rsidRPr="00E77CC3">
        <w:rPr>
          <w:rFonts w:ascii="Arial" w:hAnsi="Arial" w:cs="Arial"/>
          <w:b/>
          <w:bCs/>
          <w:sz w:val="24"/>
          <w:szCs w:val="24"/>
        </w:rPr>
        <w:t>Transport, Access and Pedestrian Safety</w:t>
      </w:r>
    </w:p>
    <w:p w14:paraId="6A5708D5"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 xml:space="preserve">4.1 </w:t>
      </w:r>
      <w:r>
        <w:rPr>
          <w:rFonts w:ascii="Arial" w:hAnsi="Arial" w:cs="Arial"/>
          <w:b/>
          <w:bCs/>
          <w:sz w:val="24"/>
          <w:szCs w:val="24"/>
        </w:rPr>
        <w:tab/>
      </w:r>
      <w:r w:rsidRPr="00E77CC3">
        <w:rPr>
          <w:rFonts w:ascii="Arial" w:hAnsi="Arial" w:cs="Arial"/>
          <w:b/>
          <w:bCs/>
          <w:sz w:val="24"/>
          <w:szCs w:val="24"/>
        </w:rPr>
        <w:t>Dangerous and Constrained Road Network</w:t>
      </w:r>
    </w:p>
    <w:p w14:paraId="27FAB6E3" w14:textId="77777777" w:rsidR="00AB4D90" w:rsidRPr="001B3255" w:rsidRDefault="00AB4D90" w:rsidP="00AB4D90">
      <w:pPr>
        <w:pStyle w:val="ListParagraph"/>
        <w:numPr>
          <w:ilvl w:val="0"/>
          <w:numId w:val="6"/>
        </w:numPr>
        <w:spacing w:line="360" w:lineRule="auto"/>
        <w:rPr>
          <w:rFonts w:ascii="Arial" w:hAnsi="Arial" w:cs="Arial"/>
          <w:sz w:val="24"/>
          <w:szCs w:val="24"/>
        </w:rPr>
      </w:pPr>
      <w:r w:rsidRPr="001B3255">
        <w:rPr>
          <w:rFonts w:ascii="Arial" w:hAnsi="Arial" w:cs="Arial"/>
          <w:sz w:val="24"/>
          <w:szCs w:val="24"/>
        </w:rPr>
        <w:t>Firle Road lacks pavements for most of its length; pedestrians are forced to walk on verges or in the road.</w:t>
      </w:r>
    </w:p>
    <w:p w14:paraId="5846DE55" w14:textId="77777777" w:rsidR="00AB4D90" w:rsidRPr="001B3255" w:rsidRDefault="00AB4D90" w:rsidP="00AB4D90">
      <w:pPr>
        <w:pStyle w:val="ListParagraph"/>
        <w:numPr>
          <w:ilvl w:val="0"/>
          <w:numId w:val="6"/>
        </w:numPr>
        <w:spacing w:line="360" w:lineRule="auto"/>
        <w:rPr>
          <w:rFonts w:ascii="Arial" w:hAnsi="Arial" w:cs="Arial"/>
          <w:sz w:val="24"/>
          <w:szCs w:val="24"/>
        </w:rPr>
      </w:pPr>
      <w:r w:rsidRPr="001B3255">
        <w:rPr>
          <w:rFonts w:ascii="Arial" w:hAnsi="Arial" w:cs="Arial"/>
          <w:sz w:val="24"/>
          <w:szCs w:val="24"/>
        </w:rPr>
        <w:t>The area already suffers congestion due to two nearby primary schools.</w:t>
      </w:r>
    </w:p>
    <w:p w14:paraId="31CC41BD"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lastRenderedPageBreak/>
        <w:t xml:space="preserve">4.2 </w:t>
      </w:r>
      <w:r>
        <w:rPr>
          <w:rFonts w:ascii="Arial" w:hAnsi="Arial" w:cs="Arial"/>
          <w:b/>
          <w:bCs/>
          <w:sz w:val="24"/>
          <w:szCs w:val="24"/>
        </w:rPr>
        <w:tab/>
      </w:r>
      <w:r w:rsidRPr="00E77CC3">
        <w:rPr>
          <w:rFonts w:ascii="Arial" w:hAnsi="Arial" w:cs="Arial"/>
          <w:b/>
          <w:bCs/>
          <w:sz w:val="24"/>
          <w:szCs w:val="24"/>
        </w:rPr>
        <w:t>Public Transport Accessibility is Poor</w:t>
      </w:r>
    </w:p>
    <w:p w14:paraId="0402C7DB" w14:textId="77777777" w:rsidR="00AB4D90" w:rsidRPr="002157F1" w:rsidRDefault="00AB4D90" w:rsidP="00AB4D90">
      <w:pPr>
        <w:pStyle w:val="ListParagraph"/>
        <w:numPr>
          <w:ilvl w:val="0"/>
          <w:numId w:val="7"/>
        </w:numPr>
        <w:spacing w:line="360" w:lineRule="auto"/>
        <w:rPr>
          <w:rFonts w:ascii="Arial" w:hAnsi="Arial" w:cs="Arial"/>
          <w:sz w:val="24"/>
          <w:szCs w:val="24"/>
        </w:rPr>
      </w:pPr>
      <w:r w:rsidRPr="001B3255">
        <w:rPr>
          <w:rFonts w:ascii="Arial" w:hAnsi="Arial" w:cs="Arial"/>
          <w:sz w:val="24"/>
          <w:szCs w:val="24"/>
        </w:rPr>
        <w:t>Nearest bus stop</w:t>
      </w:r>
      <w:r w:rsidRPr="002157F1">
        <w:rPr>
          <w:rFonts w:ascii="Arial" w:hAnsi="Arial" w:cs="Arial"/>
          <w:sz w:val="24"/>
          <w:szCs w:val="24"/>
        </w:rPr>
        <w:t>: 1.1 km</w:t>
      </w:r>
    </w:p>
    <w:p w14:paraId="79B9C804" w14:textId="77777777" w:rsidR="00AB4D90" w:rsidRPr="002157F1" w:rsidRDefault="00AB4D90" w:rsidP="00AB4D90">
      <w:pPr>
        <w:pStyle w:val="ListParagraph"/>
        <w:numPr>
          <w:ilvl w:val="0"/>
          <w:numId w:val="7"/>
        </w:numPr>
        <w:spacing w:line="360" w:lineRule="auto"/>
        <w:rPr>
          <w:rFonts w:ascii="Arial" w:hAnsi="Arial" w:cs="Arial"/>
          <w:sz w:val="24"/>
          <w:szCs w:val="24"/>
        </w:rPr>
      </w:pPr>
      <w:r w:rsidRPr="002157F1">
        <w:rPr>
          <w:rFonts w:ascii="Arial" w:hAnsi="Arial" w:cs="Arial"/>
          <w:sz w:val="24"/>
          <w:szCs w:val="24"/>
        </w:rPr>
        <w:t>Nearest train station: 1.6 km</w:t>
      </w:r>
    </w:p>
    <w:p w14:paraId="673B28C7" w14:textId="77777777" w:rsidR="00AB4D90" w:rsidRPr="008B7BC1" w:rsidRDefault="00AB4D90" w:rsidP="00AB4D90">
      <w:pPr>
        <w:spacing w:line="360" w:lineRule="auto"/>
        <w:rPr>
          <w:rFonts w:ascii="Arial" w:hAnsi="Arial" w:cs="Arial"/>
          <w:sz w:val="24"/>
          <w:szCs w:val="24"/>
        </w:rPr>
      </w:pPr>
      <w:r w:rsidRPr="008B7BC1">
        <w:rPr>
          <w:rFonts w:ascii="Arial" w:hAnsi="Arial" w:cs="Arial"/>
          <w:sz w:val="24"/>
          <w:szCs w:val="24"/>
        </w:rPr>
        <w:t>This does not meet NPPF requirements for sustainable transport connectivity.</w:t>
      </w:r>
    </w:p>
    <w:p w14:paraId="639846B6"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 xml:space="preserve">4.3 </w:t>
      </w:r>
      <w:r>
        <w:rPr>
          <w:rFonts w:ascii="Arial" w:hAnsi="Arial" w:cs="Arial"/>
          <w:b/>
          <w:bCs/>
          <w:sz w:val="24"/>
          <w:szCs w:val="24"/>
        </w:rPr>
        <w:tab/>
      </w:r>
      <w:r w:rsidRPr="00E77CC3">
        <w:rPr>
          <w:rFonts w:ascii="Arial" w:hAnsi="Arial" w:cs="Arial"/>
          <w:b/>
          <w:bCs/>
          <w:sz w:val="24"/>
          <w:szCs w:val="24"/>
        </w:rPr>
        <w:t>Increased Traffic Would Exacerbate Safety Risks</w:t>
      </w:r>
    </w:p>
    <w:p w14:paraId="63DDADF3"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40 homes would introduce 40–80 additional vehicles, worsening congestion and pedestrian danger in an area already unsuitable for larger modern vehicles.</w:t>
      </w:r>
    </w:p>
    <w:p w14:paraId="4A672A74"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 xml:space="preserve">4.4 </w:t>
      </w:r>
      <w:r>
        <w:rPr>
          <w:rFonts w:ascii="Arial" w:hAnsi="Arial" w:cs="Arial"/>
          <w:b/>
          <w:bCs/>
          <w:sz w:val="24"/>
          <w:szCs w:val="24"/>
        </w:rPr>
        <w:tab/>
      </w:r>
      <w:r w:rsidRPr="00E77CC3">
        <w:rPr>
          <w:rFonts w:ascii="Arial" w:hAnsi="Arial" w:cs="Arial"/>
          <w:b/>
          <w:bCs/>
          <w:sz w:val="24"/>
          <w:szCs w:val="24"/>
        </w:rPr>
        <w:t>Northern Access Must Be Pedestrian/Cycle Only</w:t>
      </w:r>
    </w:p>
    <w:p w14:paraId="72D4828C"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Residents strongly oppose vehicular access via the northern route to Bowden Rise due to its proximity to rear gardens and constrained width. The policy should state:</w:t>
      </w:r>
      <w:r w:rsidRPr="00E77CC3">
        <w:rPr>
          <w:rFonts w:ascii="Arial" w:hAnsi="Arial" w:cs="Arial"/>
          <w:sz w:val="24"/>
          <w:szCs w:val="24"/>
        </w:rPr>
        <w:br/>
        <w:t>“Northern access is restricted to pedestrian and cycle access only.”</w:t>
      </w:r>
    </w:p>
    <w:p w14:paraId="5DA12FF7"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 xml:space="preserve">5. </w:t>
      </w:r>
      <w:r>
        <w:rPr>
          <w:rFonts w:ascii="Arial" w:hAnsi="Arial" w:cs="Arial"/>
          <w:b/>
          <w:bCs/>
          <w:sz w:val="24"/>
          <w:szCs w:val="24"/>
        </w:rPr>
        <w:tab/>
      </w:r>
      <w:r w:rsidRPr="00E77CC3">
        <w:rPr>
          <w:rFonts w:ascii="Arial" w:hAnsi="Arial" w:cs="Arial"/>
          <w:b/>
          <w:bCs/>
          <w:sz w:val="24"/>
          <w:szCs w:val="24"/>
        </w:rPr>
        <w:t>Light Pollution Mitigation Required</w:t>
      </w:r>
    </w:p>
    <w:p w14:paraId="0BBA015B"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As the site is close to areas of elevated landscape sensitivity, and given Seaford’s proximity to the SDNP Dark Skies Transition Zone, policy wording must require:</w:t>
      </w:r>
    </w:p>
    <w:p w14:paraId="79D2C5BD" w14:textId="77777777" w:rsidR="00AB4D90" w:rsidRPr="00E77CC3" w:rsidRDefault="00AB4D90" w:rsidP="00AB4D90">
      <w:pPr>
        <w:numPr>
          <w:ilvl w:val="0"/>
          <w:numId w:val="1"/>
        </w:numPr>
        <w:spacing w:line="360" w:lineRule="auto"/>
        <w:rPr>
          <w:rFonts w:ascii="Arial" w:hAnsi="Arial" w:cs="Arial"/>
          <w:sz w:val="24"/>
          <w:szCs w:val="24"/>
        </w:rPr>
      </w:pPr>
      <w:r w:rsidRPr="00E77CC3">
        <w:rPr>
          <w:rFonts w:ascii="Arial" w:hAnsi="Arial" w:cs="Arial"/>
          <w:sz w:val="24"/>
          <w:szCs w:val="24"/>
        </w:rPr>
        <w:t>downward-facing luminaires,</w:t>
      </w:r>
    </w:p>
    <w:p w14:paraId="25F8E104" w14:textId="77777777" w:rsidR="00AB4D90" w:rsidRPr="00E77CC3" w:rsidRDefault="00AB4D90" w:rsidP="00AB4D90">
      <w:pPr>
        <w:numPr>
          <w:ilvl w:val="0"/>
          <w:numId w:val="1"/>
        </w:numPr>
        <w:spacing w:line="360" w:lineRule="auto"/>
        <w:rPr>
          <w:rFonts w:ascii="Arial" w:hAnsi="Arial" w:cs="Arial"/>
          <w:sz w:val="24"/>
          <w:szCs w:val="24"/>
        </w:rPr>
      </w:pPr>
      <w:r w:rsidRPr="00E77CC3">
        <w:rPr>
          <w:rFonts w:ascii="Arial" w:hAnsi="Arial" w:cs="Arial"/>
          <w:sz w:val="24"/>
          <w:szCs w:val="24"/>
        </w:rPr>
        <w:t>zero upward light spill,</w:t>
      </w:r>
    </w:p>
    <w:p w14:paraId="57DD2BF2" w14:textId="77777777" w:rsidR="00AB4D90" w:rsidRPr="00E77CC3" w:rsidRDefault="00AB4D90" w:rsidP="00AB4D90">
      <w:pPr>
        <w:numPr>
          <w:ilvl w:val="0"/>
          <w:numId w:val="1"/>
        </w:numPr>
        <w:spacing w:line="360" w:lineRule="auto"/>
        <w:rPr>
          <w:rFonts w:ascii="Arial" w:hAnsi="Arial" w:cs="Arial"/>
          <w:sz w:val="24"/>
          <w:szCs w:val="24"/>
        </w:rPr>
      </w:pPr>
      <w:r w:rsidRPr="00E77CC3">
        <w:rPr>
          <w:rFonts w:ascii="Arial" w:hAnsi="Arial" w:cs="Arial"/>
          <w:sz w:val="24"/>
          <w:szCs w:val="24"/>
        </w:rPr>
        <w:t>limits on security lighting,</w:t>
      </w:r>
      <w:r>
        <w:rPr>
          <w:rFonts w:ascii="Arial" w:hAnsi="Arial" w:cs="Arial"/>
          <w:sz w:val="24"/>
          <w:szCs w:val="24"/>
        </w:rPr>
        <w:t xml:space="preserve"> and</w:t>
      </w:r>
    </w:p>
    <w:p w14:paraId="5AEBC66B" w14:textId="77777777" w:rsidR="00AB4D90" w:rsidRPr="00E77CC3" w:rsidRDefault="00AB4D90" w:rsidP="00AB4D90">
      <w:pPr>
        <w:numPr>
          <w:ilvl w:val="0"/>
          <w:numId w:val="1"/>
        </w:numPr>
        <w:spacing w:line="360" w:lineRule="auto"/>
        <w:rPr>
          <w:rFonts w:ascii="Arial" w:hAnsi="Arial" w:cs="Arial"/>
          <w:sz w:val="24"/>
          <w:szCs w:val="24"/>
        </w:rPr>
      </w:pPr>
      <w:r w:rsidRPr="00E77CC3">
        <w:rPr>
          <w:rFonts w:ascii="Arial" w:hAnsi="Arial" w:cs="Arial"/>
          <w:sz w:val="24"/>
          <w:szCs w:val="24"/>
        </w:rPr>
        <w:t>ecological-friendly lighting controls.</w:t>
      </w:r>
    </w:p>
    <w:p w14:paraId="2227D91B"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 xml:space="preserve">6. </w:t>
      </w:r>
      <w:r>
        <w:rPr>
          <w:rFonts w:ascii="Arial" w:hAnsi="Arial" w:cs="Arial"/>
          <w:b/>
          <w:bCs/>
          <w:sz w:val="24"/>
          <w:szCs w:val="24"/>
        </w:rPr>
        <w:tab/>
      </w:r>
      <w:r w:rsidRPr="00E77CC3">
        <w:rPr>
          <w:rFonts w:ascii="Arial" w:hAnsi="Arial" w:cs="Arial"/>
          <w:b/>
          <w:bCs/>
          <w:sz w:val="24"/>
          <w:szCs w:val="24"/>
        </w:rPr>
        <w:t>Existing Buildings Are Not Suitable for Reuse</w:t>
      </w:r>
    </w:p>
    <w:p w14:paraId="6DC0994D"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Experience with the Newland</w:t>
      </w:r>
      <w:r>
        <w:rPr>
          <w:rFonts w:ascii="Arial" w:hAnsi="Arial" w:cs="Arial"/>
          <w:sz w:val="24"/>
          <w:szCs w:val="24"/>
        </w:rPr>
        <w:t>’</w:t>
      </w:r>
      <w:r w:rsidRPr="00E77CC3">
        <w:rPr>
          <w:rFonts w:ascii="Arial" w:hAnsi="Arial" w:cs="Arial"/>
          <w:sz w:val="24"/>
          <w:szCs w:val="24"/>
        </w:rPr>
        <w:t>s School redevelopment demonstrates that retaining large institutional buildings:</w:t>
      </w:r>
    </w:p>
    <w:p w14:paraId="10C61D88" w14:textId="77777777" w:rsidR="00AB4D90" w:rsidRPr="00E77CC3" w:rsidRDefault="00AB4D90" w:rsidP="00AB4D90">
      <w:pPr>
        <w:numPr>
          <w:ilvl w:val="0"/>
          <w:numId w:val="2"/>
        </w:numPr>
        <w:spacing w:line="360" w:lineRule="auto"/>
        <w:rPr>
          <w:rFonts w:ascii="Arial" w:hAnsi="Arial" w:cs="Arial"/>
          <w:sz w:val="24"/>
          <w:szCs w:val="24"/>
        </w:rPr>
      </w:pPr>
      <w:r w:rsidRPr="00E77CC3">
        <w:rPr>
          <w:rFonts w:ascii="Arial" w:hAnsi="Arial" w:cs="Arial"/>
          <w:sz w:val="24"/>
          <w:szCs w:val="24"/>
        </w:rPr>
        <w:t>is not viable for developers,</w:t>
      </w:r>
    </w:p>
    <w:p w14:paraId="1B6795F1" w14:textId="77777777" w:rsidR="00AB4D90" w:rsidRPr="00E77CC3" w:rsidRDefault="00AB4D90" w:rsidP="00AB4D90">
      <w:pPr>
        <w:numPr>
          <w:ilvl w:val="0"/>
          <w:numId w:val="2"/>
        </w:numPr>
        <w:spacing w:line="360" w:lineRule="auto"/>
        <w:rPr>
          <w:rFonts w:ascii="Arial" w:hAnsi="Arial" w:cs="Arial"/>
          <w:sz w:val="24"/>
          <w:szCs w:val="24"/>
        </w:rPr>
      </w:pPr>
      <w:r w:rsidRPr="00E77CC3">
        <w:rPr>
          <w:rFonts w:ascii="Arial" w:hAnsi="Arial" w:cs="Arial"/>
          <w:sz w:val="24"/>
          <w:szCs w:val="24"/>
        </w:rPr>
        <w:t>increases costs, reducing affordability, and</w:t>
      </w:r>
    </w:p>
    <w:p w14:paraId="6FF0067B" w14:textId="77777777" w:rsidR="00AB4D90" w:rsidRPr="00E77CC3" w:rsidRDefault="00AB4D90" w:rsidP="00AB4D90">
      <w:pPr>
        <w:numPr>
          <w:ilvl w:val="0"/>
          <w:numId w:val="2"/>
        </w:numPr>
        <w:spacing w:line="360" w:lineRule="auto"/>
        <w:rPr>
          <w:rFonts w:ascii="Arial" w:hAnsi="Arial" w:cs="Arial"/>
          <w:sz w:val="24"/>
          <w:szCs w:val="24"/>
        </w:rPr>
      </w:pPr>
      <w:r w:rsidRPr="00E77CC3">
        <w:rPr>
          <w:rFonts w:ascii="Arial" w:hAnsi="Arial" w:cs="Arial"/>
          <w:sz w:val="24"/>
          <w:szCs w:val="24"/>
        </w:rPr>
        <w:t>leads to poor-quality flat conversions rather than needed family homes.</w:t>
      </w:r>
    </w:p>
    <w:p w14:paraId="663584E8"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Therefore, policy must state that new-build family homes are required, not conversions.</w:t>
      </w:r>
    </w:p>
    <w:p w14:paraId="2E38AB99"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lastRenderedPageBreak/>
        <w:t xml:space="preserve">7. </w:t>
      </w:r>
      <w:r>
        <w:rPr>
          <w:rFonts w:ascii="Arial" w:hAnsi="Arial" w:cs="Arial"/>
          <w:b/>
          <w:bCs/>
          <w:sz w:val="24"/>
          <w:szCs w:val="24"/>
        </w:rPr>
        <w:tab/>
      </w:r>
      <w:r w:rsidRPr="00E77CC3">
        <w:rPr>
          <w:rFonts w:ascii="Arial" w:hAnsi="Arial" w:cs="Arial"/>
          <w:b/>
          <w:bCs/>
          <w:sz w:val="24"/>
          <w:szCs w:val="24"/>
        </w:rPr>
        <w:t>Biodiversity and Protected Species</w:t>
      </w:r>
    </w:p>
    <w:p w14:paraId="4F1BD4F6"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The site contains:</w:t>
      </w:r>
    </w:p>
    <w:p w14:paraId="79C5CD09" w14:textId="77777777" w:rsidR="00AB4D90" w:rsidRPr="00485410" w:rsidRDefault="00AB4D90" w:rsidP="00AB4D90">
      <w:pPr>
        <w:pStyle w:val="ListParagraph"/>
        <w:numPr>
          <w:ilvl w:val="0"/>
          <w:numId w:val="8"/>
        </w:numPr>
        <w:spacing w:line="360" w:lineRule="auto"/>
        <w:rPr>
          <w:rFonts w:ascii="Arial" w:hAnsi="Arial" w:cs="Arial"/>
          <w:sz w:val="24"/>
          <w:szCs w:val="24"/>
        </w:rPr>
      </w:pPr>
      <w:r w:rsidRPr="00485410">
        <w:rPr>
          <w:rFonts w:ascii="Arial" w:hAnsi="Arial" w:cs="Arial"/>
          <w:sz w:val="24"/>
          <w:szCs w:val="24"/>
        </w:rPr>
        <w:t xml:space="preserve">trees contributing to local character and biodiversity, which </w:t>
      </w:r>
      <w:r>
        <w:rPr>
          <w:rFonts w:ascii="Arial" w:hAnsi="Arial" w:cs="Arial"/>
          <w:sz w:val="24"/>
          <w:szCs w:val="24"/>
        </w:rPr>
        <w:t>“</w:t>
      </w:r>
      <w:r w:rsidRPr="00485410">
        <w:rPr>
          <w:rFonts w:ascii="Arial" w:hAnsi="Arial" w:cs="Arial"/>
          <w:sz w:val="24"/>
          <w:szCs w:val="24"/>
        </w:rPr>
        <w:t>must be retained”, not merely “should be retained”; and</w:t>
      </w:r>
    </w:p>
    <w:p w14:paraId="3457D326" w14:textId="77777777" w:rsidR="00AB4D90" w:rsidRPr="00485410" w:rsidRDefault="00AB4D90" w:rsidP="00AB4D90">
      <w:pPr>
        <w:pStyle w:val="ListParagraph"/>
        <w:numPr>
          <w:ilvl w:val="0"/>
          <w:numId w:val="8"/>
        </w:numPr>
        <w:spacing w:line="360" w:lineRule="auto"/>
        <w:rPr>
          <w:rFonts w:ascii="Arial" w:hAnsi="Arial" w:cs="Arial"/>
          <w:sz w:val="24"/>
          <w:szCs w:val="24"/>
        </w:rPr>
      </w:pPr>
      <w:r w:rsidRPr="00485410">
        <w:rPr>
          <w:rFonts w:ascii="Arial" w:hAnsi="Arial" w:cs="Arial"/>
          <w:sz w:val="24"/>
          <w:szCs w:val="24"/>
        </w:rPr>
        <w:t>a</w:t>
      </w:r>
      <w:r>
        <w:rPr>
          <w:rFonts w:ascii="Arial" w:hAnsi="Arial" w:cs="Arial"/>
          <w:sz w:val="24"/>
          <w:szCs w:val="24"/>
        </w:rPr>
        <w:t xml:space="preserve">n established </w:t>
      </w:r>
      <w:r w:rsidRPr="00485410">
        <w:rPr>
          <w:rFonts w:ascii="Arial" w:hAnsi="Arial" w:cs="Arial"/>
          <w:sz w:val="24"/>
          <w:szCs w:val="24"/>
        </w:rPr>
        <w:t>badger sett requiring strict protection and mitigation.</w:t>
      </w:r>
    </w:p>
    <w:p w14:paraId="284C1C77"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The allocation as written does not contain sufficient biodiversity safeguards to satisfy NPPF para 179.</w:t>
      </w:r>
    </w:p>
    <w:p w14:paraId="0AECDBE6"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8.</w:t>
      </w:r>
      <w:r>
        <w:rPr>
          <w:rFonts w:ascii="Arial" w:hAnsi="Arial" w:cs="Arial"/>
          <w:b/>
          <w:bCs/>
          <w:sz w:val="24"/>
          <w:szCs w:val="24"/>
        </w:rPr>
        <w:tab/>
      </w:r>
      <w:r w:rsidRPr="00E77CC3">
        <w:rPr>
          <w:rFonts w:ascii="Arial" w:hAnsi="Arial" w:cs="Arial"/>
          <w:b/>
          <w:bCs/>
          <w:sz w:val="24"/>
          <w:szCs w:val="24"/>
        </w:rPr>
        <w:t>Infrastructure Capacity – Seaford Cannot Absorb Further Pressure</w:t>
      </w:r>
    </w:p>
    <w:p w14:paraId="3BBCB1CA"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 xml:space="preserve">8.1 </w:t>
      </w:r>
      <w:r>
        <w:rPr>
          <w:rFonts w:ascii="Arial" w:hAnsi="Arial" w:cs="Arial"/>
          <w:b/>
          <w:bCs/>
          <w:sz w:val="24"/>
          <w:szCs w:val="24"/>
        </w:rPr>
        <w:tab/>
      </w:r>
      <w:r w:rsidRPr="00E77CC3">
        <w:rPr>
          <w:rFonts w:ascii="Arial" w:hAnsi="Arial" w:cs="Arial"/>
          <w:b/>
          <w:bCs/>
          <w:sz w:val="24"/>
          <w:szCs w:val="24"/>
        </w:rPr>
        <w:t>Healthcare</w:t>
      </w:r>
    </w:p>
    <w:p w14:paraId="50FD64CE" w14:textId="77777777" w:rsidR="00AB4D90" w:rsidRPr="00E9760A" w:rsidRDefault="00AB4D90" w:rsidP="00AB4D90">
      <w:pPr>
        <w:pStyle w:val="ListParagraph"/>
        <w:numPr>
          <w:ilvl w:val="0"/>
          <w:numId w:val="9"/>
        </w:numPr>
        <w:spacing w:line="360" w:lineRule="auto"/>
        <w:rPr>
          <w:rFonts w:ascii="Arial" w:hAnsi="Arial" w:cs="Arial"/>
          <w:sz w:val="24"/>
          <w:szCs w:val="24"/>
        </w:rPr>
      </w:pPr>
      <w:r w:rsidRPr="00485410">
        <w:rPr>
          <w:rFonts w:ascii="Arial" w:hAnsi="Arial" w:cs="Arial"/>
          <w:sz w:val="24"/>
          <w:szCs w:val="24"/>
        </w:rPr>
        <w:t xml:space="preserve">Only </w:t>
      </w:r>
      <w:r w:rsidRPr="00E9760A">
        <w:rPr>
          <w:rFonts w:ascii="Arial" w:hAnsi="Arial" w:cs="Arial"/>
          <w:sz w:val="24"/>
          <w:szCs w:val="24"/>
        </w:rPr>
        <w:t>two GP practices, both closed to new patients.</w:t>
      </w:r>
    </w:p>
    <w:p w14:paraId="2411052F" w14:textId="77777777" w:rsidR="00AB4D90" w:rsidRPr="00E9760A" w:rsidRDefault="00AB4D90" w:rsidP="00AB4D90">
      <w:pPr>
        <w:pStyle w:val="ListParagraph"/>
        <w:numPr>
          <w:ilvl w:val="0"/>
          <w:numId w:val="9"/>
        </w:numPr>
        <w:spacing w:line="360" w:lineRule="auto"/>
        <w:rPr>
          <w:rFonts w:ascii="Arial" w:hAnsi="Arial" w:cs="Arial"/>
          <w:sz w:val="24"/>
          <w:szCs w:val="24"/>
        </w:rPr>
      </w:pPr>
      <w:r w:rsidRPr="00E9760A">
        <w:rPr>
          <w:rFonts w:ascii="Arial" w:hAnsi="Arial" w:cs="Arial"/>
          <w:sz w:val="24"/>
          <w:szCs w:val="24"/>
        </w:rPr>
        <w:t>No minor injuries unit.</w:t>
      </w:r>
    </w:p>
    <w:p w14:paraId="3C00A774" w14:textId="77777777" w:rsidR="00AB4D90" w:rsidRPr="00E9760A" w:rsidRDefault="00AB4D90" w:rsidP="00AB4D90">
      <w:pPr>
        <w:pStyle w:val="ListParagraph"/>
        <w:numPr>
          <w:ilvl w:val="0"/>
          <w:numId w:val="9"/>
        </w:numPr>
        <w:spacing w:line="360" w:lineRule="auto"/>
        <w:rPr>
          <w:rFonts w:ascii="Arial" w:hAnsi="Arial" w:cs="Arial"/>
          <w:sz w:val="24"/>
          <w:szCs w:val="24"/>
        </w:rPr>
      </w:pPr>
      <w:r w:rsidRPr="00E9760A">
        <w:rPr>
          <w:rFonts w:ascii="Arial" w:hAnsi="Arial" w:cs="Arial"/>
          <w:sz w:val="24"/>
          <w:szCs w:val="24"/>
        </w:rPr>
        <w:t xml:space="preserve">Residents already travel long distances for routine and emergency care, </w:t>
      </w:r>
      <w:r>
        <w:rPr>
          <w:rFonts w:ascii="Arial" w:hAnsi="Arial" w:cs="Arial"/>
          <w:sz w:val="24"/>
          <w:szCs w:val="24"/>
        </w:rPr>
        <w:t>often</w:t>
      </w:r>
      <w:r w:rsidRPr="00E9760A">
        <w:rPr>
          <w:rFonts w:ascii="Arial" w:hAnsi="Arial" w:cs="Arial"/>
          <w:sz w:val="24"/>
          <w:szCs w:val="24"/>
        </w:rPr>
        <w:t xml:space="preserve"> to the Conquest Hospital in Hastings (50-mile round trip).</w:t>
      </w:r>
    </w:p>
    <w:p w14:paraId="0024DCA5" w14:textId="77777777" w:rsidR="00AB4D90" w:rsidRPr="00485410" w:rsidRDefault="00AB4D90" w:rsidP="00AB4D90">
      <w:pPr>
        <w:pStyle w:val="ListParagraph"/>
        <w:numPr>
          <w:ilvl w:val="0"/>
          <w:numId w:val="9"/>
        </w:numPr>
        <w:spacing w:line="360" w:lineRule="auto"/>
        <w:rPr>
          <w:rFonts w:ascii="Arial" w:hAnsi="Arial" w:cs="Arial"/>
          <w:sz w:val="24"/>
          <w:szCs w:val="24"/>
        </w:rPr>
      </w:pPr>
      <w:r w:rsidRPr="00E9760A">
        <w:rPr>
          <w:rFonts w:ascii="Arial" w:hAnsi="Arial" w:cs="Arial"/>
          <w:sz w:val="24"/>
          <w:szCs w:val="24"/>
        </w:rPr>
        <w:t>Ambulance services are severely overstretched due to</w:t>
      </w:r>
      <w:r w:rsidRPr="00485410">
        <w:rPr>
          <w:rFonts w:ascii="Arial" w:hAnsi="Arial" w:cs="Arial"/>
          <w:sz w:val="24"/>
          <w:szCs w:val="24"/>
        </w:rPr>
        <w:t xml:space="preserve"> systemwide strain.</w:t>
      </w:r>
    </w:p>
    <w:p w14:paraId="21314EB4"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 xml:space="preserve">8.2 </w:t>
      </w:r>
      <w:r>
        <w:rPr>
          <w:rFonts w:ascii="Arial" w:hAnsi="Arial" w:cs="Arial"/>
          <w:b/>
          <w:bCs/>
          <w:sz w:val="24"/>
          <w:szCs w:val="24"/>
        </w:rPr>
        <w:tab/>
      </w:r>
      <w:r w:rsidRPr="00E77CC3">
        <w:rPr>
          <w:rFonts w:ascii="Arial" w:hAnsi="Arial" w:cs="Arial"/>
          <w:b/>
          <w:bCs/>
          <w:sz w:val="24"/>
          <w:szCs w:val="24"/>
        </w:rPr>
        <w:t>Drainage</w:t>
      </w:r>
    </w:p>
    <w:p w14:paraId="7BA52209" w14:textId="77777777" w:rsidR="00AB4D90" w:rsidRPr="00485410" w:rsidRDefault="00AB4D90" w:rsidP="00AB4D90">
      <w:pPr>
        <w:spacing w:line="360" w:lineRule="auto"/>
        <w:rPr>
          <w:rFonts w:ascii="Arial" w:hAnsi="Arial" w:cs="Arial"/>
          <w:sz w:val="24"/>
          <w:szCs w:val="24"/>
        </w:rPr>
      </w:pPr>
      <w:r w:rsidRPr="00485410">
        <w:rPr>
          <w:rFonts w:ascii="Arial" w:hAnsi="Arial" w:cs="Arial"/>
          <w:sz w:val="24"/>
          <w:szCs w:val="24"/>
        </w:rPr>
        <w:t xml:space="preserve">The area </w:t>
      </w:r>
      <w:r w:rsidRPr="00E9760A">
        <w:rPr>
          <w:rFonts w:ascii="Arial" w:hAnsi="Arial" w:cs="Arial"/>
          <w:sz w:val="24"/>
          <w:szCs w:val="24"/>
        </w:rPr>
        <w:t>suffers from regular drainage blockages and flooding, often addressed by residents due to inadequate response capacity.</w:t>
      </w:r>
    </w:p>
    <w:p w14:paraId="0917A8E9" w14:textId="77777777" w:rsidR="00AB4D90" w:rsidRPr="00E77CC3" w:rsidRDefault="00AB4D90" w:rsidP="00AB4D90">
      <w:pPr>
        <w:spacing w:line="360" w:lineRule="auto"/>
        <w:rPr>
          <w:rFonts w:ascii="Arial" w:hAnsi="Arial" w:cs="Arial"/>
          <w:b/>
          <w:bCs/>
          <w:sz w:val="24"/>
          <w:szCs w:val="24"/>
        </w:rPr>
      </w:pPr>
      <w:r w:rsidRPr="00E77CC3">
        <w:rPr>
          <w:rFonts w:ascii="Arial" w:hAnsi="Arial" w:cs="Arial"/>
          <w:b/>
          <w:bCs/>
          <w:sz w:val="24"/>
          <w:szCs w:val="24"/>
        </w:rPr>
        <w:t xml:space="preserve">8.3 </w:t>
      </w:r>
      <w:r>
        <w:rPr>
          <w:rFonts w:ascii="Arial" w:hAnsi="Arial" w:cs="Arial"/>
          <w:b/>
          <w:bCs/>
          <w:sz w:val="24"/>
          <w:szCs w:val="24"/>
        </w:rPr>
        <w:tab/>
      </w:r>
      <w:r w:rsidRPr="00E77CC3">
        <w:rPr>
          <w:rFonts w:ascii="Arial" w:hAnsi="Arial" w:cs="Arial"/>
          <w:b/>
          <w:bCs/>
          <w:sz w:val="24"/>
          <w:szCs w:val="24"/>
        </w:rPr>
        <w:t>Utilities</w:t>
      </w:r>
    </w:p>
    <w:p w14:paraId="6BB7AD03"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The sewage network and treatment facilities are already at or beyond capacity.</w:t>
      </w:r>
    </w:p>
    <w:p w14:paraId="0075390A"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The Local Plan does not show deliverable, funded infrastructure capacity to support the development.</w:t>
      </w:r>
    </w:p>
    <w:p w14:paraId="2C19EC4E" w14:textId="77777777" w:rsidR="00AB4D90" w:rsidRPr="00D12D61" w:rsidRDefault="00AB4D90" w:rsidP="00AB4D90">
      <w:pPr>
        <w:spacing w:line="360" w:lineRule="auto"/>
        <w:rPr>
          <w:rFonts w:ascii="Arial" w:hAnsi="Arial" w:cs="Arial"/>
          <w:b/>
          <w:bCs/>
          <w:sz w:val="28"/>
          <w:szCs w:val="28"/>
        </w:rPr>
      </w:pPr>
      <w:r w:rsidRPr="00D12D61">
        <w:rPr>
          <w:rFonts w:ascii="Arial" w:hAnsi="Arial" w:cs="Arial"/>
          <w:b/>
          <w:bCs/>
          <w:sz w:val="28"/>
          <w:szCs w:val="28"/>
        </w:rPr>
        <w:t xml:space="preserve">9. </w:t>
      </w:r>
      <w:r w:rsidRPr="00D12D61">
        <w:rPr>
          <w:rFonts w:ascii="Arial" w:hAnsi="Arial" w:cs="Arial"/>
          <w:b/>
          <w:bCs/>
          <w:sz w:val="28"/>
          <w:szCs w:val="28"/>
        </w:rPr>
        <w:tab/>
        <w:t>Conclusion and Requested Changes</w:t>
      </w:r>
    </w:p>
    <w:p w14:paraId="798B4499" w14:textId="77777777" w:rsidR="00AB4D90" w:rsidRPr="00E77CC3" w:rsidRDefault="00AB4D90" w:rsidP="00AB4D90">
      <w:pPr>
        <w:spacing w:line="360" w:lineRule="auto"/>
        <w:rPr>
          <w:rFonts w:ascii="Arial" w:hAnsi="Arial" w:cs="Arial"/>
          <w:sz w:val="24"/>
          <w:szCs w:val="24"/>
        </w:rPr>
      </w:pPr>
      <w:r w:rsidRPr="00E77CC3">
        <w:rPr>
          <w:rFonts w:ascii="Arial" w:hAnsi="Arial" w:cs="Arial"/>
          <w:sz w:val="24"/>
          <w:szCs w:val="24"/>
        </w:rPr>
        <w:t>The Town Council requests that LDC:</w:t>
      </w:r>
    </w:p>
    <w:p w14:paraId="6ED3AC3C" w14:textId="77777777" w:rsidR="00AB4D90" w:rsidRPr="002157F1" w:rsidRDefault="00AB4D90" w:rsidP="00AB4D90">
      <w:pPr>
        <w:pStyle w:val="ListParagraph"/>
        <w:numPr>
          <w:ilvl w:val="0"/>
          <w:numId w:val="3"/>
        </w:numPr>
        <w:spacing w:line="360" w:lineRule="auto"/>
        <w:rPr>
          <w:rFonts w:ascii="Arial" w:hAnsi="Arial" w:cs="Arial"/>
          <w:sz w:val="24"/>
          <w:szCs w:val="24"/>
        </w:rPr>
      </w:pPr>
      <w:r w:rsidRPr="002157F1">
        <w:rPr>
          <w:rFonts w:ascii="Arial" w:hAnsi="Arial" w:cs="Arial"/>
          <w:sz w:val="24"/>
          <w:szCs w:val="24"/>
        </w:rPr>
        <w:t>Reduce the allocation from 40 dwellings to no more than 18–19 dwellings, consistent with the AEC and surrounding densities.</w:t>
      </w:r>
    </w:p>
    <w:p w14:paraId="49836BC3" w14:textId="77777777" w:rsidR="00AB4D90" w:rsidRPr="00E77CC3" w:rsidRDefault="00AB4D90" w:rsidP="00AB4D90">
      <w:pPr>
        <w:numPr>
          <w:ilvl w:val="0"/>
          <w:numId w:val="3"/>
        </w:numPr>
        <w:spacing w:line="360" w:lineRule="auto"/>
        <w:rPr>
          <w:rFonts w:ascii="Arial" w:hAnsi="Arial" w:cs="Arial"/>
          <w:sz w:val="24"/>
          <w:szCs w:val="24"/>
        </w:rPr>
      </w:pPr>
      <w:r w:rsidRPr="00E77CC3">
        <w:rPr>
          <w:rFonts w:ascii="Arial" w:hAnsi="Arial" w:cs="Arial"/>
          <w:sz w:val="24"/>
          <w:szCs w:val="24"/>
        </w:rPr>
        <w:lastRenderedPageBreak/>
        <w:t>Exclude the 1.15 ha recreational land from density calculations and formally designate and secure it as community recreational land suitable for field sports.</w:t>
      </w:r>
    </w:p>
    <w:p w14:paraId="51C9FC51" w14:textId="77777777" w:rsidR="00AB4D90" w:rsidRPr="00E77CC3" w:rsidRDefault="00AB4D90" w:rsidP="00AB4D90">
      <w:pPr>
        <w:numPr>
          <w:ilvl w:val="0"/>
          <w:numId w:val="3"/>
        </w:numPr>
        <w:spacing w:line="360" w:lineRule="auto"/>
        <w:rPr>
          <w:rFonts w:ascii="Arial" w:hAnsi="Arial" w:cs="Arial"/>
          <w:sz w:val="24"/>
          <w:szCs w:val="24"/>
        </w:rPr>
      </w:pPr>
      <w:r w:rsidRPr="00E77CC3">
        <w:rPr>
          <w:rFonts w:ascii="Arial" w:hAnsi="Arial" w:cs="Arial"/>
          <w:sz w:val="24"/>
          <w:szCs w:val="24"/>
        </w:rPr>
        <w:t>Prohibit vehicular use of the northern access.</w:t>
      </w:r>
    </w:p>
    <w:p w14:paraId="4CE19F85" w14:textId="77777777" w:rsidR="00AB4D90" w:rsidRPr="00E77CC3" w:rsidRDefault="00AB4D90" w:rsidP="00AB4D90">
      <w:pPr>
        <w:numPr>
          <w:ilvl w:val="0"/>
          <w:numId w:val="3"/>
        </w:numPr>
        <w:spacing w:line="360" w:lineRule="auto"/>
        <w:rPr>
          <w:rFonts w:ascii="Arial" w:hAnsi="Arial" w:cs="Arial"/>
          <w:sz w:val="24"/>
          <w:szCs w:val="24"/>
        </w:rPr>
      </w:pPr>
      <w:r w:rsidRPr="00E77CC3">
        <w:rPr>
          <w:rFonts w:ascii="Arial" w:hAnsi="Arial" w:cs="Arial"/>
          <w:sz w:val="24"/>
          <w:szCs w:val="24"/>
        </w:rPr>
        <w:t>Add mandatory wording for pavements, lighting, and safe access.</w:t>
      </w:r>
    </w:p>
    <w:p w14:paraId="06B180F8" w14:textId="77777777" w:rsidR="00AB4D90" w:rsidRPr="00E77CC3" w:rsidRDefault="00AB4D90" w:rsidP="00AB4D90">
      <w:pPr>
        <w:numPr>
          <w:ilvl w:val="0"/>
          <w:numId w:val="3"/>
        </w:numPr>
        <w:spacing w:line="360" w:lineRule="auto"/>
        <w:rPr>
          <w:rFonts w:ascii="Arial" w:hAnsi="Arial" w:cs="Arial"/>
          <w:sz w:val="24"/>
          <w:szCs w:val="24"/>
        </w:rPr>
      </w:pPr>
      <w:r w:rsidRPr="00E77CC3">
        <w:rPr>
          <w:rFonts w:ascii="Arial" w:hAnsi="Arial" w:cs="Arial"/>
          <w:sz w:val="24"/>
          <w:szCs w:val="24"/>
        </w:rPr>
        <w:t>Require dark-sky-compatible lighting.</w:t>
      </w:r>
    </w:p>
    <w:p w14:paraId="62AD60CA" w14:textId="77777777" w:rsidR="00AB4D90" w:rsidRPr="00E77CC3" w:rsidRDefault="00AB4D90" w:rsidP="00AB4D90">
      <w:pPr>
        <w:numPr>
          <w:ilvl w:val="0"/>
          <w:numId w:val="3"/>
        </w:numPr>
        <w:spacing w:line="360" w:lineRule="auto"/>
        <w:rPr>
          <w:rFonts w:ascii="Arial" w:hAnsi="Arial" w:cs="Arial"/>
          <w:sz w:val="24"/>
          <w:szCs w:val="24"/>
        </w:rPr>
      </w:pPr>
      <w:r w:rsidRPr="00E77CC3">
        <w:rPr>
          <w:rFonts w:ascii="Arial" w:hAnsi="Arial" w:cs="Arial"/>
          <w:sz w:val="24"/>
          <w:szCs w:val="24"/>
        </w:rPr>
        <w:t>Require new-build family homes, not reuse of the existing building.</w:t>
      </w:r>
    </w:p>
    <w:p w14:paraId="30671627" w14:textId="77777777" w:rsidR="00AB4D90" w:rsidRPr="00E77CC3" w:rsidRDefault="00AB4D90" w:rsidP="00AB4D90">
      <w:pPr>
        <w:numPr>
          <w:ilvl w:val="0"/>
          <w:numId w:val="3"/>
        </w:numPr>
        <w:spacing w:line="360" w:lineRule="auto"/>
        <w:rPr>
          <w:rFonts w:ascii="Arial" w:hAnsi="Arial" w:cs="Arial"/>
          <w:sz w:val="24"/>
          <w:szCs w:val="24"/>
        </w:rPr>
      </w:pPr>
      <w:r w:rsidRPr="00E77CC3">
        <w:rPr>
          <w:rFonts w:ascii="Arial" w:hAnsi="Arial" w:cs="Arial"/>
          <w:sz w:val="24"/>
          <w:szCs w:val="24"/>
        </w:rPr>
        <w:t>Strengthen biodiversity protection measures, including mandatory tree retention and mitigation for protected species.</w:t>
      </w:r>
    </w:p>
    <w:p w14:paraId="7DC997CD" w14:textId="77777777" w:rsidR="00AB4D90" w:rsidRPr="00E77CC3" w:rsidRDefault="00AB4D90" w:rsidP="00AB4D90">
      <w:pPr>
        <w:numPr>
          <w:ilvl w:val="0"/>
          <w:numId w:val="3"/>
        </w:numPr>
        <w:spacing w:line="360" w:lineRule="auto"/>
        <w:rPr>
          <w:rFonts w:ascii="Arial" w:hAnsi="Arial" w:cs="Arial"/>
          <w:sz w:val="24"/>
          <w:szCs w:val="24"/>
        </w:rPr>
      </w:pPr>
      <w:r>
        <w:rPr>
          <w:rFonts w:ascii="Arial" w:hAnsi="Arial" w:cs="Arial"/>
          <w:sz w:val="24"/>
          <w:szCs w:val="24"/>
        </w:rPr>
        <w:t>P</w:t>
      </w:r>
      <w:r w:rsidRPr="00E77CC3">
        <w:rPr>
          <w:rFonts w:ascii="Arial" w:hAnsi="Arial" w:cs="Arial"/>
          <w:sz w:val="24"/>
          <w:szCs w:val="24"/>
        </w:rPr>
        <w:t>rovide</w:t>
      </w:r>
      <w:r>
        <w:rPr>
          <w:rFonts w:ascii="Arial" w:hAnsi="Arial" w:cs="Arial"/>
          <w:sz w:val="24"/>
          <w:szCs w:val="24"/>
        </w:rPr>
        <w:t>s</w:t>
      </w:r>
      <w:r w:rsidRPr="00E77CC3">
        <w:rPr>
          <w:rFonts w:ascii="Arial" w:hAnsi="Arial" w:cs="Arial"/>
          <w:sz w:val="24"/>
          <w:szCs w:val="24"/>
        </w:rPr>
        <w:t xml:space="preserve"> evidence of infrastructure capacity, particularly healthcare and drainage, before allocating the site.</w:t>
      </w:r>
    </w:p>
    <w:p w14:paraId="39D1982C" w14:textId="77777777" w:rsidR="00AB4D90" w:rsidRPr="005B0D18" w:rsidRDefault="00AB4D90" w:rsidP="00AB4D90">
      <w:pPr>
        <w:spacing w:line="360" w:lineRule="auto"/>
        <w:rPr>
          <w:rFonts w:ascii="Arial" w:hAnsi="Arial" w:cs="Arial"/>
          <w:sz w:val="24"/>
          <w:szCs w:val="24"/>
        </w:rPr>
      </w:pPr>
      <w:r w:rsidRPr="00E77CC3">
        <w:rPr>
          <w:rFonts w:ascii="Arial" w:hAnsi="Arial" w:cs="Arial"/>
          <w:sz w:val="24"/>
          <w:szCs w:val="24"/>
        </w:rPr>
        <w:t>As written, SF2 is not sound, not justified, not deliverable, and not consistent with national policy. The Town Council therefore strongly objects to the allocation unless it is amended in line with the above recommendations.</w:t>
      </w:r>
    </w:p>
    <w:p w14:paraId="6E0A1B56" w14:textId="77777777" w:rsidR="005D3C5A" w:rsidRDefault="005D3C5A"/>
    <w:sectPr w:rsidR="005D3C5A">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A1EEB" w14:textId="77777777" w:rsidR="00100EEC" w:rsidRDefault="00100EEC" w:rsidP="00AB4D90">
      <w:pPr>
        <w:spacing w:after="0" w:line="240" w:lineRule="auto"/>
      </w:pPr>
      <w:r>
        <w:separator/>
      </w:r>
    </w:p>
  </w:endnote>
  <w:endnote w:type="continuationSeparator" w:id="0">
    <w:p w14:paraId="231977B1" w14:textId="77777777" w:rsidR="00100EEC" w:rsidRDefault="00100EEC" w:rsidP="00AB4D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884CC5" w14:textId="77777777" w:rsidR="00100EEC" w:rsidRDefault="00100EEC" w:rsidP="00AB4D90">
      <w:pPr>
        <w:spacing w:after="0" w:line="240" w:lineRule="auto"/>
      </w:pPr>
      <w:r>
        <w:separator/>
      </w:r>
    </w:p>
  </w:footnote>
  <w:footnote w:type="continuationSeparator" w:id="0">
    <w:p w14:paraId="54A3EE82" w14:textId="77777777" w:rsidR="00100EEC" w:rsidRDefault="00100EEC" w:rsidP="00AB4D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3F5BB" w14:textId="77777777" w:rsidR="00AB4D90" w:rsidRDefault="00AB4D90" w:rsidP="00AB4D90">
    <w:pPr>
      <w:pStyle w:val="Header"/>
      <w:rPr>
        <w:rFonts w:ascii="Arial" w:hAnsi="Arial" w:cs="Arial"/>
        <w:b/>
        <w:bCs/>
        <w:sz w:val="28"/>
        <w:szCs w:val="28"/>
      </w:rPr>
    </w:pPr>
    <w:r>
      <w:rPr>
        <w:rFonts w:ascii="Arial" w:hAnsi="Arial" w:cs="Arial"/>
        <w:b/>
        <w:bCs/>
        <w:sz w:val="28"/>
        <w:szCs w:val="28"/>
      </w:rPr>
      <w:t>SEAFORD TOWN COUNCIL</w:t>
    </w:r>
  </w:p>
  <w:p w14:paraId="7D56B709" w14:textId="4BB14BFB" w:rsidR="00AB4D90" w:rsidRPr="004B2E1C" w:rsidRDefault="00AB4D90" w:rsidP="00AB4D90">
    <w:pPr>
      <w:pStyle w:val="Header"/>
      <w:rPr>
        <w:rFonts w:ascii="Arial" w:hAnsi="Arial" w:cs="Arial"/>
        <w:b/>
        <w:bCs/>
        <w:sz w:val="28"/>
        <w:szCs w:val="28"/>
      </w:rPr>
    </w:pPr>
    <w:r>
      <w:rPr>
        <w:rFonts w:ascii="Arial" w:hAnsi="Arial" w:cs="Arial"/>
        <w:b/>
        <w:bCs/>
        <w:sz w:val="28"/>
        <w:szCs w:val="28"/>
      </w:rPr>
      <w:t>Response to</w:t>
    </w:r>
    <w:r w:rsidRPr="004B2E1C">
      <w:rPr>
        <w:rFonts w:ascii="Arial" w:hAnsi="Arial" w:cs="Arial"/>
        <w:b/>
        <w:bCs/>
        <w:sz w:val="28"/>
        <w:szCs w:val="28"/>
      </w:rPr>
      <w:t xml:space="preserve"> Lewes Local Plan Phase 2 </w:t>
    </w:r>
    <w:r>
      <w:rPr>
        <w:rFonts w:ascii="Arial" w:hAnsi="Arial" w:cs="Arial"/>
        <w:b/>
        <w:bCs/>
        <w:sz w:val="28"/>
        <w:szCs w:val="28"/>
      </w:rPr>
      <w:t>– S</w:t>
    </w:r>
    <w:r>
      <w:rPr>
        <w:rFonts w:ascii="Arial" w:hAnsi="Arial" w:cs="Arial"/>
        <w:b/>
        <w:bCs/>
        <w:sz w:val="28"/>
        <w:szCs w:val="28"/>
      </w:rPr>
      <w:t>F2</w:t>
    </w:r>
    <w:r>
      <w:rPr>
        <w:rFonts w:ascii="Arial" w:hAnsi="Arial" w:cs="Arial"/>
        <w:b/>
        <w:bCs/>
        <w:sz w:val="28"/>
        <w:szCs w:val="28"/>
      </w:rPr>
      <w:t xml:space="preserve"> </w:t>
    </w:r>
    <w:r>
      <w:rPr>
        <w:rFonts w:ascii="Arial" w:hAnsi="Arial" w:cs="Arial"/>
        <w:b/>
        <w:bCs/>
        <w:sz w:val="28"/>
        <w:szCs w:val="28"/>
      </w:rPr>
      <w:t xml:space="preserve">Site </w:t>
    </w:r>
    <w:r>
      <w:rPr>
        <w:rFonts w:ascii="Arial" w:hAnsi="Arial" w:cs="Arial"/>
        <w:b/>
        <w:bCs/>
        <w:sz w:val="28"/>
        <w:szCs w:val="28"/>
      </w:rPr>
      <w:t>Allocation</w:t>
    </w:r>
  </w:p>
  <w:p w14:paraId="156752BE" w14:textId="77777777" w:rsidR="00AB4D90" w:rsidRDefault="00AB4D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23D4F"/>
    <w:multiLevelType w:val="hybridMultilevel"/>
    <w:tmpl w:val="8020B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7620BD"/>
    <w:multiLevelType w:val="multilevel"/>
    <w:tmpl w:val="706C7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8A0DA3"/>
    <w:multiLevelType w:val="hybridMultilevel"/>
    <w:tmpl w:val="AD948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F461E2"/>
    <w:multiLevelType w:val="hybridMultilevel"/>
    <w:tmpl w:val="F00EF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5E5B58"/>
    <w:multiLevelType w:val="hybridMultilevel"/>
    <w:tmpl w:val="F7B47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19173F"/>
    <w:multiLevelType w:val="hybridMultilevel"/>
    <w:tmpl w:val="1312D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6066FC"/>
    <w:multiLevelType w:val="multilevel"/>
    <w:tmpl w:val="2C3EC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823D51"/>
    <w:multiLevelType w:val="multilevel"/>
    <w:tmpl w:val="5B3A28E8"/>
    <w:lvl w:ilvl="0">
      <w:start w:val="1"/>
      <w:numFmt w:val="lowerLetter"/>
      <w:lvlText w:val="(%1)"/>
      <w:lvlJc w:val="left"/>
      <w:pPr>
        <w:tabs>
          <w:tab w:val="num" w:pos="720"/>
        </w:tabs>
        <w:ind w:left="720" w:hanging="360"/>
      </w:pPr>
      <w:rPr>
        <w:rFonts w:ascii="Arial" w:eastAsiaTheme="minorHAnsi"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FC35530"/>
    <w:multiLevelType w:val="hybridMultilevel"/>
    <w:tmpl w:val="9FDAF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592686">
    <w:abstractNumId w:val="1"/>
  </w:num>
  <w:num w:numId="2" w16cid:durableId="1800799064">
    <w:abstractNumId w:val="6"/>
  </w:num>
  <w:num w:numId="3" w16cid:durableId="405152453">
    <w:abstractNumId w:val="7"/>
  </w:num>
  <w:num w:numId="4" w16cid:durableId="607739476">
    <w:abstractNumId w:val="2"/>
  </w:num>
  <w:num w:numId="5" w16cid:durableId="981885668">
    <w:abstractNumId w:val="3"/>
  </w:num>
  <w:num w:numId="6" w16cid:durableId="84887659">
    <w:abstractNumId w:val="8"/>
  </w:num>
  <w:num w:numId="7" w16cid:durableId="1701200623">
    <w:abstractNumId w:val="4"/>
  </w:num>
  <w:num w:numId="8" w16cid:durableId="451633214">
    <w:abstractNumId w:val="0"/>
  </w:num>
  <w:num w:numId="9" w16cid:durableId="15327650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D90"/>
    <w:rsid w:val="00100EEC"/>
    <w:rsid w:val="005D3C5A"/>
    <w:rsid w:val="00AB4D90"/>
    <w:rsid w:val="00B123AA"/>
    <w:rsid w:val="00B778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2EDA9"/>
  <w15:chartTrackingRefBased/>
  <w15:docId w15:val="{6B431BF0-5B83-4EE2-AE92-04DD4CE8D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D90"/>
  </w:style>
  <w:style w:type="paragraph" w:styleId="Heading1">
    <w:name w:val="heading 1"/>
    <w:basedOn w:val="Normal"/>
    <w:next w:val="Normal"/>
    <w:link w:val="Heading1Char"/>
    <w:uiPriority w:val="9"/>
    <w:qFormat/>
    <w:rsid w:val="00AB4D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4D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4D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4D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4D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4D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4D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4D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4D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D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D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D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D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D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D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D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D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D90"/>
    <w:rPr>
      <w:rFonts w:eastAsiaTheme="majorEastAsia" w:cstheme="majorBidi"/>
      <w:color w:val="272727" w:themeColor="text1" w:themeTint="D8"/>
    </w:rPr>
  </w:style>
  <w:style w:type="paragraph" w:styleId="Title">
    <w:name w:val="Title"/>
    <w:basedOn w:val="Normal"/>
    <w:next w:val="Normal"/>
    <w:link w:val="TitleChar"/>
    <w:uiPriority w:val="10"/>
    <w:qFormat/>
    <w:rsid w:val="00AB4D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4D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D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4D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D90"/>
    <w:pPr>
      <w:spacing w:before="160"/>
      <w:jc w:val="center"/>
    </w:pPr>
    <w:rPr>
      <w:i/>
      <w:iCs/>
      <w:color w:val="404040" w:themeColor="text1" w:themeTint="BF"/>
    </w:rPr>
  </w:style>
  <w:style w:type="character" w:customStyle="1" w:styleId="QuoteChar">
    <w:name w:val="Quote Char"/>
    <w:basedOn w:val="DefaultParagraphFont"/>
    <w:link w:val="Quote"/>
    <w:uiPriority w:val="29"/>
    <w:rsid w:val="00AB4D90"/>
    <w:rPr>
      <w:i/>
      <w:iCs/>
      <w:color w:val="404040" w:themeColor="text1" w:themeTint="BF"/>
    </w:rPr>
  </w:style>
  <w:style w:type="paragraph" w:styleId="ListParagraph">
    <w:name w:val="List Paragraph"/>
    <w:basedOn w:val="Normal"/>
    <w:uiPriority w:val="34"/>
    <w:qFormat/>
    <w:rsid w:val="00AB4D90"/>
    <w:pPr>
      <w:ind w:left="720"/>
      <w:contextualSpacing/>
    </w:pPr>
  </w:style>
  <w:style w:type="character" w:styleId="IntenseEmphasis">
    <w:name w:val="Intense Emphasis"/>
    <w:basedOn w:val="DefaultParagraphFont"/>
    <w:uiPriority w:val="21"/>
    <w:qFormat/>
    <w:rsid w:val="00AB4D90"/>
    <w:rPr>
      <w:i/>
      <w:iCs/>
      <w:color w:val="0F4761" w:themeColor="accent1" w:themeShade="BF"/>
    </w:rPr>
  </w:style>
  <w:style w:type="paragraph" w:styleId="IntenseQuote">
    <w:name w:val="Intense Quote"/>
    <w:basedOn w:val="Normal"/>
    <w:next w:val="Normal"/>
    <w:link w:val="IntenseQuoteChar"/>
    <w:uiPriority w:val="30"/>
    <w:qFormat/>
    <w:rsid w:val="00AB4D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4D90"/>
    <w:rPr>
      <w:i/>
      <w:iCs/>
      <w:color w:val="0F4761" w:themeColor="accent1" w:themeShade="BF"/>
    </w:rPr>
  </w:style>
  <w:style w:type="character" w:styleId="IntenseReference">
    <w:name w:val="Intense Reference"/>
    <w:basedOn w:val="DefaultParagraphFont"/>
    <w:uiPriority w:val="32"/>
    <w:qFormat/>
    <w:rsid w:val="00AB4D90"/>
    <w:rPr>
      <w:b/>
      <w:bCs/>
      <w:smallCaps/>
      <w:color w:val="0F4761" w:themeColor="accent1" w:themeShade="BF"/>
      <w:spacing w:val="5"/>
    </w:rPr>
  </w:style>
  <w:style w:type="paragraph" w:styleId="Header">
    <w:name w:val="header"/>
    <w:basedOn w:val="Normal"/>
    <w:link w:val="HeaderChar"/>
    <w:uiPriority w:val="99"/>
    <w:unhideWhenUsed/>
    <w:rsid w:val="00AB4D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4D90"/>
  </w:style>
  <w:style w:type="paragraph" w:styleId="Footer">
    <w:name w:val="footer"/>
    <w:basedOn w:val="Normal"/>
    <w:link w:val="FooterChar"/>
    <w:uiPriority w:val="99"/>
    <w:unhideWhenUsed/>
    <w:rsid w:val="00AB4D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4D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962</Words>
  <Characters>5671</Characters>
  <Application>Microsoft Office Word</Application>
  <DocSecurity>0</DocSecurity>
  <Lines>120</Lines>
  <Paragraphs>76</Paragraphs>
  <ScaleCrop>false</ScaleCrop>
  <Company/>
  <LinksUpToDate>false</LinksUpToDate>
  <CharactersWithSpaces>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Mouland</dc:creator>
  <cp:keywords/>
  <dc:description/>
  <cp:lastModifiedBy>Isabelle Mouland</cp:lastModifiedBy>
  <cp:revision>1</cp:revision>
  <dcterms:created xsi:type="dcterms:W3CDTF">2026-02-23T11:56:00Z</dcterms:created>
  <dcterms:modified xsi:type="dcterms:W3CDTF">2026-02-23T11:58:00Z</dcterms:modified>
</cp:coreProperties>
</file>