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38E4" w14:textId="77777777" w:rsidR="005C58F1" w:rsidRPr="00466443" w:rsidRDefault="005C58F1" w:rsidP="005C58F1">
      <w:pPr>
        <w:rPr>
          <w:rFonts w:cs="Arial"/>
        </w:rPr>
      </w:pPr>
    </w:p>
    <w:p w14:paraId="1D94576D" w14:textId="77777777" w:rsidR="005C58F1" w:rsidRPr="00466443" w:rsidRDefault="005C58F1" w:rsidP="005C58F1">
      <w:pPr>
        <w:tabs>
          <w:tab w:val="left" w:pos="7300"/>
        </w:tabs>
        <w:rPr>
          <w:rFonts w:cs="Arial"/>
        </w:rPr>
      </w:pPr>
      <w:r w:rsidRPr="008F7279">
        <w:rPr>
          <w:rFonts w:cs="Arial"/>
          <w:noProof/>
        </w:rPr>
        <w:drawing>
          <wp:inline distT="0" distB="0" distL="0" distR="0" wp14:anchorId="487DA4E3" wp14:editId="172B6C03">
            <wp:extent cx="5731510" cy="3162300"/>
            <wp:effectExtent l="0" t="0" r="2540" b="0"/>
            <wp:docPr id="1781121488" name="Picture 1" descr="A blue and white rectangular sign with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21488" name="Picture 1" descr="A blue and white rectangular sign with a blue and white background&#10;&#10;AI-generated content may be incorrect."/>
                    <pic:cNvPicPr/>
                  </pic:nvPicPr>
                  <pic:blipFill>
                    <a:blip r:embed="rId11"/>
                    <a:stretch>
                      <a:fillRect/>
                    </a:stretch>
                  </pic:blipFill>
                  <pic:spPr>
                    <a:xfrm>
                      <a:off x="0" y="0"/>
                      <a:ext cx="5731510" cy="3162300"/>
                    </a:xfrm>
                    <a:prstGeom prst="rect">
                      <a:avLst/>
                    </a:prstGeom>
                  </pic:spPr>
                </pic:pic>
              </a:graphicData>
            </a:graphic>
          </wp:inline>
        </w:drawing>
      </w:r>
      <w:r w:rsidRPr="00466443">
        <w:rPr>
          <w:rFonts w:cs="Arial"/>
        </w:rPr>
        <w:tab/>
      </w:r>
    </w:p>
    <w:p w14:paraId="5EEAA6D8" w14:textId="77777777" w:rsidR="005C58F1" w:rsidRPr="00466443" w:rsidRDefault="005C58F1" w:rsidP="005C58F1">
      <w:pPr>
        <w:rPr>
          <w:rFonts w:cs="Arial"/>
        </w:rPr>
      </w:pPr>
    </w:p>
    <w:p w14:paraId="508BB4BF" w14:textId="77777777" w:rsidR="005C58F1" w:rsidRPr="00466443" w:rsidRDefault="005C58F1" w:rsidP="005C58F1">
      <w:pPr>
        <w:rPr>
          <w:rFonts w:cs="Arial"/>
        </w:rPr>
      </w:pPr>
    </w:p>
    <w:p w14:paraId="1AA1DFA0" w14:textId="668964D5" w:rsidR="005C58F1" w:rsidRPr="00466443" w:rsidRDefault="00133CF5" w:rsidP="005C58F1">
      <w:pPr>
        <w:shd w:val="clear" w:color="auto" w:fill="FFFFFF" w:themeFill="background1"/>
        <w:jc w:val="center"/>
        <w:rPr>
          <w:rFonts w:cs="Arial"/>
          <w:color w:val="215E99" w:themeColor="text2" w:themeTint="BF"/>
          <w:sz w:val="52"/>
          <w:szCs w:val="52"/>
        </w:rPr>
      </w:pPr>
      <w:r>
        <w:rPr>
          <w:rFonts w:cs="Arial"/>
          <w:color w:val="215E99" w:themeColor="text2" w:themeTint="BF"/>
          <w:sz w:val="52"/>
          <w:szCs w:val="52"/>
        </w:rPr>
        <w:t>DISPLAY SCREEN EQUIPMENT (DSE) USERS</w:t>
      </w:r>
      <w:r w:rsidR="005C58F1" w:rsidRPr="00466443">
        <w:rPr>
          <w:rFonts w:cs="Arial"/>
          <w:color w:val="215E99" w:themeColor="text2" w:themeTint="BF"/>
          <w:sz w:val="52"/>
          <w:szCs w:val="52"/>
        </w:rPr>
        <w:t xml:space="preserve"> POLICY</w:t>
      </w:r>
    </w:p>
    <w:p w14:paraId="38524DEA" w14:textId="77777777" w:rsidR="005C58F1" w:rsidRPr="00466443" w:rsidRDefault="005C58F1" w:rsidP="005C58F1">
      <w:pPr>
        <w:rPr>
          <w:rFonts w:cs="Arial"/>
        </w:rPr>
      </w:pPr>
    </w:p>
    <w:p w14:paraId="4883E439" w14:textId="77777777" w:rsidR="005C58F1" w:rsidRPr="00466443" w:rsidRDefault="005C58F1" w:rsidP="005C58F1">
      <w:pPr>
        <w:rPr>
          <w:rFonts w:cs="Arial"/>
        </w:rPr>
      </w:pPr>
    </w:p>
    <w:p w14:paraId="06D72CDC" w14:textId="59097DF0" w:rsidR="005C58F1" w:rsidRPr="00466443" w:rsidRDefault="00256B31" w:rsidP="005C58F1">
      <w:pPr>
        <w:pStyle w:val="Header"/>
        <w:tabs>
          <w:tab w:val="clear" w:pos="4320"/>
          <w:tab w:val="clear" w:pos="8640"/>
          <w:tab w:val="num" w:pos="360"/>
        </w:tabs>
        <w:spacing w:line="280" w:lineRule="exact"/>
        <w:ind w:right="-23"/>
        <w:jc w:val="center"/>
        <w:rPr>
          <w:rFonts w:asciiTheme="minorHAnsi" w:hAnsiTheme="minorHAnsi" w:cs="Arial"/>
          <w:bCs/>
          <w:i/>
          <w:iCs/>
          <w:color w:val="153D63" w:themeColor="text2" w:themeTint="E6"/>
          <w:sz w:val="24"/>
          <w:szCs w:val="24"/>
        </w:rPr>
      </w:pPr>
      <w:r>
        <w:rPr>
          <w:rFonts w:asciiTheme="minorHAnsi" w:hAnsiTheme="minorHAnsi" w:cs="Arial"/>
          <w:bCs/>
          <w:i/>
          <w:iCs/>
          <w:color w:val="153D63" w:themeColor="text2" w:themeTint="E6"/>
          <w:sz w:val="24"/>
          <w:szCs w:val="24"/>
        </w:rPr>
        <w:t xml:space="preserve">This policy defines the Town Council’s approach to </w:t>
      </w:r>
      <w:r w:rsidR="00B93ED8">
        <w:rPr>
          <w:rFonts w:asciiTheme="minorHAnsi" w:hAnsiTheme="minorHAnsi" w:cs="Arial"/>
          <w:bCs/>
          <w:i/>
          <w:iCs/>
          <w:color w:val="153D63" w:themeColor="text2" w:themeTint="E6"/>
          <w:sz w:val="24"/>
          <w:szCs w:val="24"/>
        </w:rPr>
        <w:t xml:space="preserve">the </w:t>
      </w:r>
      <w:r>
        <w:rPr>
          <w:rFonts w:asciiTheme="minorHAnsi" w:hAnsiTheme="minorHAnsi" w:cs="Arial"/>
          <w:bCs/>
          <w:i/>
          <w:iCs/>
          <w:color w:val="153D63" w:themeColor="text2" w:themeTint="E6"/>
          <w:sz w:val="24"/>
          <w:szCs w:val="24"/>
        </w:rPr>
        <w:t xml:space="preserve">safe </w:t>
      </w:r>
      <w:r w:rsidR="001D50B2">
        <w:rPr>
          <w:rFonts w:asciiTheme="minorHAnsi" w:hAnsiTheme="minorHAnsi" w:cs="Arial"/>
          <w:bCs/>
          <w:i/>
          <w:iCs/>
          <w:color w:val="153D63" w:themeColor="text2" w:themeTint="E6"/>
          <w:sz w:val="24"/>
          <w:szCs w:val="24"/>
        </w:rPr>
        <w:t xml:space="preserve">use of display screen equipment and </w:t>
      </w:r>
      <w:r w:rsidR="00B93ED8">
        <w:rPr>
          <w:rFonts w:asciiTheme="minorHAnsi" w:hAnsiTheme="minorHAnsi" w:cs="Arial"/>
          <w:bCs/>
          <w:i/>
          <w:iCs/>
          <w:color w:val="153D63" w:themeColor="text2" w:themeTint="E6"/>
          <w:sz w:val="24"/>
          <w:szCs w:val="24"/>
        </w:rPr>
        <w:t>to supporting the health and wellbeing of its officers through fair and transparent practice</w:t>
      </w:r>
    </w:p>
    <w:p w14:paraId="07E0B8B6" w14:textId="77777777" w:rsidR="005C58F1" w:rsidRPr="00466443" w:rsidRDefault="005C58F1" w:rsidP="005C58F1">
      <w:pPr>
        <w:rPr>
          <w:rFonts w:cs="Arial"/>
        </w:rPr>
      </w:pPr>
    </w:p>
    <w:p w14:paraId="531AC7DA" w14:textId="77777777" w:rsidR="005C58F1" w:rsidRPr="00466443" w:rsidRDefault="005C58F1" w:rsidP="005C58F1">
      <w:pPr>
        <w:rPr>
          <w:rFonts w:cs="Arial"/>
        </w:rPr>
      </w:pPr>
    </w:p>
    <w:p w14:paraId="4571D6B4" w14:textId="77777777" w:rsidR="005C58F1" w:rsidRPr="00466443" w:rsidRDefault="005C58F1" w:rsidP="005C58F1">
      <w:pPr>
        <w:rPr>
          <w:rFonts w:cs="Arial"/>
        </w:rPr>
      </w:pPr>
    </w:p>
    <w:p w14:paraId="3B468F6F" w14:textId="77777777" w:rsidR="005C58F1" w:rsidRPr="00466443" w:rsidRDefault="005C58F1" w:rsidP="005C58F1">
      <w:pPr>
        <w:rPr>
          <w:rFonts w:cs="Arial"/>
        </w:rPr>
      </w:pPr>
    </w:p>
    <w:p w14:paraId="1CF95936" w14:textId="77777777" w:rsidR="005C58F1" w:rsidRPr="00466443" w:rsidRDefault="005C58F1" w:rsidP="005C58F1">
      <w:pPr>
        <w:rPr>
          <w:rFonts w:cs="Arial"/>
        </w:rPr>
      </w:pPr>
    </w:p>
    <w:p w14:paraId="7A941AD7" w14:textId="6B37AE87" w:rsidR="005C58F1" w:rsidRPr="00466443" w:rsidRDefault="005C58F1" w:rsidP="00596578">
      <w:pPr>
        <w:jc w:val="center"/>
        <w:rPr>
          <w:rFonts w:cs="Arial"/>
        </w:rPr>
      </w:pPr>
      <w:r w:rsidRPr="008F7279">
        <w:rPr>
          <w:rFonts w:cs="Arial"/>
          <w:noProof/>
        </w:rPr>
        <w:drawing>
          <wp:inline distT="0" distB="0" distL="0" distR="0" wp14:anchorId="77DB76DE" wp14:editId="396C234D">
            <wp:extent cx="5314950" cy="560705"/>
            <wp:effectExtent l="0" t="0" r="0" b="0"/>
            <wp:docPr id="48473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34391" name=""/>
                    <pic:cNvPicPr/>
                  </pic:nvPicPr>
                  <pic:blipFill>
                    <a:blip r:embed="rId12"/>
                    <a:stretch>
                      <a:fillRect/>
                    </a:stretch>
                  </pic:blipFill>
                  <pic:spPr>
                    <a:xfrm>
                      <a:off x="0" y="0"/>
                      <a:ext cx="5314950" cy="560705"/>
                    </a:xfrm>
                    <a:prstGeom prst="rect">
                      <a:avLst/>
                    </a:prstGeom>
                  </pic:spPr>
                </pic:pic>
              </a:graphicData>
            </a:graphic>
          </wp:inline>
        </w:drawing>
      </w:r>
    </w:p>
    <w:tbl>
      <w:tblPr>
        <w:tblStyle w:val="TableGrid"/>
        <w:tblpPr w:leftFromText="180" w:rightFromText="180" w:vertAnchor="text" w:horzAnchor="margin" w:tblpY="703"/>
        <w:tblW w:w="0" w:type="auto"/>
        <w:tblLook w:val="04A0" w:firstRow="1" w:lastRow="0" w:firstColumn="1" w:lastColumn="0" w:noHBand="0" w:noVBand="1"/>
      </w:tblPr>
      <w:tblGrid>
        <w:gridCol w:w="2254"/>
        <w:gridCol w:w="2254"/>
        <w:gridCol w:w="2254"/>
        <w:gridCol w:w="2254"/>
      </w:tblGrid>
      <w:tr w:rsidR="005C58F1" w:rsidRPr="00466443" w14:paraId="06A98F75" w14:textId="77777777" w:rsidTr="000267CE">
        <w:tc>
          <w:tcPr>
            <w:tcW w:w="2254" w:type="dxa"/>
          </w:tcPr>
          <w:p w14:paraId="1ED6A032" w14:textId="77777777" w:rsidR="005C58F1" w:rsidRPr="00466443" w:rsidRDefault="005C58F1" w:rsidP="000267CE">
            <w:pPr>
              <w:rPr>
                <w:rFonts w:cs="Arial"/>
                <w:b/>
                <w:bCs/>
              </w:rPr>
            </w:pPr>
            <w:r w:rsidRPr="00466443">
              <w:rPr>
                <w:rFonts w:cs="Arial"/>
                <w:b/>
                <w:bCs/>
              </w:rPr>
              <w:lastRenderedPageBreak/>
              <w:t>Version</w:t>
            </w:r>
          </w:p>
        </w:tc>
        <w:tc>
          <w:tcPr>
            <w:tcW w:w="2254" w:type="dxa"/>
          </w:tcPr>
          <w:p w14:paraId="2ACC5BD5" w14:textId="16857DB7" w:rsidR="005C58F1" w:rsidRPr="00466443" w:rsidRDefault="008D2CDB" w:rsidP="000267CE">
            <w:pPr>
              <w:rPr>
                <w:rFonts w:cs="Arial"/>
              </w:rPr>
            </w:pPr>
            <w:r>
              <w:rPr>
                <w:rFonts w:cs="Arial"/>
              </w:rPr>
              <w:t>0.2</w:t>
            </w:r>
          </w:p>
        </w:tc>
        <w:tc>
          <w:tcPr>
            <w:tcW w:w="2254" w:type="dxa"/>
          </w:tcPr>
          <w:p w14:paraId="7CEBC0A9" w14:textId="77777777" w:rsidR="005C58F1" w:rsidRPr="00466443" w:rsidRDefault="005C58F1" w:rsidP="000267CE">
            <w:pPr>
              <w:rPr>
                <w:rFonts w:cs="Arial"/>
                <w:b/>
                <w:bCs/>
              </w:rPr>
            </w:pPr>
            <w:r w:rsidRPr="00466443">
              <w:rPr>
                <w:rFonts w:cs="Arial"/>
                <w:b/>
                <w:bCs/>
              </w:rPr>
              <w:t>Last Review Date</w:t>
            </w:r>
          </w:p>
        </w:tc>
        <w:tc>
          <w:tcPr>
            <w:tcW w:w="2254" w:type="dxa"/>
          </w:tcPr>
          <w:p w14:paraId="7B4AFBC4" w14:textId="7E7B87B4" w:rsidR="005C58F1" w:rsidRPr="00466443" w:rsidRDefault="00EA4E5B" w:rsidP="000267CE">
            <w:pPr>
              <w:rPr>
                <w:rFonts w:cs="Arial"/>
              </w:rPr>
            </w:pPr>
            <w:r>
              <w:rPr>
                <w:rFonts w:cs="Arial"/>
              </w:rPr>
              <w:t>April 2026</w:t>
            </w:r>
          </w:p>
        </w:tc>
      </w:tr>
      <w:tr w:rsidR="005C58F1" w:rsidRPr="00466443" w14:paraId="3BD1AB58" w14:textId="77777777" w:rsidTr="000267CE">
        <w:tc>
          <w:tcPr>
            <w:tcW w:w="2254" w:type="dxa"/>
          </w:tcPr>
          <w:p w14:paraId="31F13BB8" w14:textId="77777777" w:rsidR="005C58F1" w:rsidRPr="00466443" w:rsidRDefault="005C58F1" w:rsidP="000267CE">
            <w:pPr>
              <w:rPr>
                <w:rFonts w:cs="Arial"/>
                <w:b/>
                <w:bCs/>
              </w:rPr>
            </w:pPr>
            <w:r w:rsidRPr="00466443">
              <w:rPr>
                <w:rFonts w:cs="Arial"/>
                <w:b/>
                <w:bCs/>
              </w:rPr>
              <w:t>Adopted Date</w:t>
            </w:r>
          </w:p>
        </w:tc>
        <w:tc>
          <w:tcPr>
            <w:tcW w:w="2254" w:type="dxa"/>
          </w:tcPr>
          <w:p w14:paraId="0E8CCEE0" w14:textId="5C2811E1" w:rsidR="005C58F1" w:rsidRPr="00466443" w:rsidRDefault="00EA4E5B" w:rsidP="000267CE">
            <w:pPr>
              <w:rPr>
                <w:rFonts w:cs="Arial"/>
              </w:rPr>
            </w:pPr>
            <w:r>
              <w:rPr>
                <w:rFonts w:cs="Arial"/>
              </w:rPr>
              <w:t>29 April 2026</w:t>
            </w:r>
          </w:p>
        </w:tc>
        <w:tc>
          <w:tcPr>
            <w:tcW w:w="2254" w:type="dxa"/>
          </w:tcPr>
          <w:p w14:paraId="4AE9105C" w14:textId="77777777" w:rsidR="005C58F1" w:rsidRPr="00466443" w:rsidRDefault="005C58F1" w:rsidP="000267CE">
            <w:pPr>
              <w:rPr>
                <w:rFonts w:cs="Arial"/>
                <w:b/>
                <w:bCs/>
              </w:rPr>
            </w:pPr>
            <w:r w:rsidRPr="00466443">
              <w:rPr>
                <w:rFonts w:cs="Arial"/>
                <w:b/>
                <w:bCs/>
              </w:rPr>
              <w:t>Next Review Date</w:t>
            </w:r>
          </w:p>
        </w:tc>
        <w:tc>
          <w:tcPr>
            <w:tcW w:w="2254" w:type="dxa"/>
          </w:tcPr>
          <w:p w14:paraId="6A2580F8" w14:textId="063545B5" w:rsidR="005C58F1" w:rsidRPr="00466443" w:rsidRDefault="00EA4E5B" w:rsidP="000267CE">
            <w:pPr>
              <w:rPr>
                <w:rFonts w:cs="Arial"/>
              </w:rPr>
            </w:pPr>
            <w:r>
              <w:rPr>
                <w:rFonts w:cs="Arial"/>
              </w:rPr>
              <w:t>April 2031</w:t>
            </w:r>
          </w:p>
        </w:tc>
      </w:tr>
      <w:tr w:rsidR="005C58F1" w:rsidRPr="00466443" w14:paraId="270C7FF2" w14:textId="77777777" w:rsidTr="000267CE">
        <w:tc>
          <w:tcPr>
            <w:tcW w:w="2254" w:type="dxa"/>
          </w:tcPr>
          <w:p w14:paraId="75A73578" w14:textId="77777777" w:rsidR="005C58F1" w:rsidRPr="00466443" w:rsidRDefault="005C58F1" w:rsidP="000267CE">
            <w:pPr>
              <w:rPr>
                <w:rFonts w:cs="Arial"/>
                <w:b/>
                <w:bCs/>
              </w:rPr>
            </w:pPr>
            <w:r w:rsidRPr="00466443">
              <w:rPr>
                <w:rFonts w:cs="Arial"/>
                <w:b/>
                <w:bCs/>
              </w:rPr>
              <w:t>Review Period</w:t>
            </w:r>
          </w:p>
        </w:tc>
        <w:tc>
          <w:tcPr>
            <w:tcW w:w="2254" w:type="dxa"/>
          </w:tcPr>
          <w:p w14:paraId="2ABB2904" w14:textId="5368B042" w:rsidR="005C58F1" w:rsidRPr="00466443" w:rsidRDefault="004955BA" w:rsidP="000267CE">
            <w:pPr>
              <w:rPr>
                <w:rFonts w:cs="Arial"/>
              </w:rPr>
            </w:pPr>
            <w:r>
              <w:rPr>
                <w:rFonts w:cs="Arial"/>
              </w:rPr>
              <w:t>Five years</w:t>
            </w:r>
          </w:p>
        </w:tc>
        <w:tc>
          <w:tcPr>
            <w:tcW w:w="2254" w:type="dxa"/>
          </w:tcPr>
          <w:p w14:paraId="692151FF" w14:textId="77777777" w:rsidR="005C58F1" w:rsidRPr="00466443" w:rsidRDefault="005C58F1" w:rsidP="000267CE">
            <w:pPr>
              <w:rPr>
                <w:rFonts w:cs="Arial"/>
                <w:b/>
                <w:bCs/>
              </w:rPr>
            </w:pPr>
            <w:r w:rsidRPr="00466443">
              <w:rPr>
                <w:rFonts w:cs="Arial"/>
                <w:b/>
                <w:bCs/>
              </w:rPr>
              <w:t>Approving Body</w:t>
            </w:r>
          </w:p>
        </w:tc>
        <w:tc>
          <w:tcPr>
            <w:tcW w:w="2254" w:type="dxa"/>
          </w:tcPr>
          <w:p w14:paraId="3E5391C8" w14:textId="39439C2F" w:rsidR="005C58F1" w:rsidRPr="00466443" w:rsidRDefault="008D2CDB" w:rsidP="000267CE">
            <w:pPr>
              <w:rPr>
                <w:rFonts w:cs="Arial"/>
              </w:rPr>
            </w:pPr>
            <w:r>
              <w:rPr>
                <w:rFonts w:cs="Arial"/>
              </w:rPr>
              <w:t>Full Council</w:t>
            </w:r>
          </w:p>
        </w:tc>
      </w:tr>
    </w:tbl>
    <w:p w14:paraId="25953C09" w14:textId="77777777" w:rsidR="005C58F1" w:rsidRPr="00466443" w:rsidRDefault="005C58F1" w:rsidP="005C58F1">
      <w:pPr>
        <w:pStyle w:val="Heading2"/>
        <w:rPr>
          <w:rFonts w:asciiTheme="minorHAnsi" w:hAnsiTheme="minorHAnsi" w:cs="Arial"/>
        </w:rPr>
      </w:pPr>
      <w:r w:rsidRPr="00466443">
        <w:rPr>
          <w:rFonts w:asciiTheme="minorHAnsi" w:hAnsiTheme="minorHAnsi" w:cs="Arial"/>
        </w:rPr>
        <w:t>Policy Status</w:t>
      </w:r>
    </w:p>
    <w:p w14:paraId="692CE5EE" w14:textId="77777777" w:rsidR="005C58F1" w:rsidRPr="00466443" w:rsidRDefault="005C58F1" w:rsidP="005C58F1">
      <w:pPr>
        <w:pStyle w:val="Heading2"/>
        <w:rPr>
          <w:rFonts w:asciiTheme="minorHAnsi" w:hAnsiTheme="minorHAnsi" w:cs="Arial"/>
        </w:rPr>
      </w:pPr>
    </w:p>
    <w:p w14:paraId="7A7DD24B" w14:textId="0495686D" w:rsidR="005C58F1" w:rsidRPr="00466443" w:rsidRDefault="005C58F1" w:rsidP="002B609A">
      <w:pPr>
        <w:pStyle w:val="Heading2"/>
        <w:tabs>
          <w:tab w:val="left" w:pos="6330"/>
        </w:tabs>
        <w:rPr>
          <w:rFonts w:asciiTheme="minorHAnsi" w:hAnsiTheme="minorHAnsi" w:cs="Arial"/>
        </w:rPr>
      </w:pPr>
      <w:r w:rsidRPr="00466443">
        <w:rPr>
          <w:rFonts w:asciiTheme="minorHAnsi" w:hAnsiTheme="minorHAnsi" w:cs="Arial"/>
        </w:rPr>
        <w:t>Version History</w:t>
      </w:r>
      <w:r w:rsidR="002B609A">
        <w:rPr>
          <w:rFonts w:asciiTheme="minorHAnsi" w:hAnsiTheme="minorHAnsi" w:cs="Arial"/>
        </w:rPr>
        <w:tab/>
      </w:r>
    </w:p>
    <w:tbl>
      <w:tblPr>
        <w:tblStyle w:val="TableGrid"/>
        <w:tblW w:w="0" w:type="auto"/>
        <w:tblLook w:val="04A0" w:firstRow="1" w:lastRow="0" w:firstColumn="1" w:lastColumn="0" w:noHBand="0" w:noVBand="1"/>
      </w:tblPr>
      <w:tblGrid>
        <w:gridCol w:w="2254"/>
        <w:gridCol w:w="2254"/>
        <w:gridCol w:w="2254"/>
        <w:gridCol w:w="2254"/>
      </w:tblGrid>
      <w:tr w:rsidR="005C58F1" w:rsidRPr="00466443" w14:paraId="521ACE5C" w14:textId="77777777" w:rsidTr="000267CE">
        <w:tc>
          <w:tcPr>
            <w:tcW w:w="2254" w:type="dxa"/>
          </w:tcPr>
          <w:p w14:paraId="47F98A98" w14:textId="77777777" w:rsidR="005C58F1" w:rsidRPr="00466443" w:rsidRDefault="005C58F1" w:rsidP="000267CE">
            <w:pPr>
              <w:rPr>
                <w:rFonts w:cs="Arial"/>
                <w:b/>
                <w:bCs/>
              </w:rPr>
            </w:pPr>
            <w:r w:rsidRPr="00466443">
              <w:rPr>
                <w:rFonts w:cs="Arial"/>
                <w:b/>
                <w:bCs/>
              </w:rPr>
              <w:t>Date</w:t>
            </w:r>
          </w:p>
        </w:tc>
        <w:tc>
          <w:tcPr>
            <w:tcW w:w="2254" w:type="dxa"/>
          </w:tcPr>
          <w:p w14:paraId="4B46D318" w14:textId="77777777" w:rsidR="005C58F1" w:rsidRPr="00466443" w:rsidRDefault="005C58F1" w:rsidP="000267CE">
            <w:pPr>
              <w:rPr>
                <w:rFonts w:cs="Arial"/>
                <w:b/>
                <w:bCs/>
              </w:rPr>
            </w:pPr>
            <w:r w:rsidRPr="00466443">
              <w:rPr>
                <w:rFonts w:cs="Arial"/>
                <w:b/>
                <w:bCs/>
              </w:rPr>
              <w:t>Version</w:t>
            </w:r>
          </w:p>
        </w:tc>
        <w:tc>
          <w:tcPr>
            <w:tcW w:w="2254" w:type="dxa"/>
          </w:tcPr>
          <w:p w14:paraId="771D0C71" w14:textId="77777777" w:rsidR="005C58F1" w:rsidRPr="00466443" w:rsidRDefault="005C58F1" w:rsidP="000267CE">
            <w:pPr>
              <w:rPr>
                <w:rFonts w:cs="Arial"/>
                <w:b/>
                <w:bCs/>
              </w:rPr>
            </w:pPr>
            <w:r w:rsidRPr="00466443">
              <w:rPr>
                <w:rFonts w:cs="Arial"/>
                <w:b/>
                <w:bCs/>
              </w:rPr>
              <w:t>Approval</w:t>
            </w:r>
          </w:p>
        </w:tc>
        <w:tc>
          <w:tcPr>
            <w:tcW w:w="2254" w:type="dxa"/>
          </w:tcPr>
          <w:p w14:paraId="30734B41" w14:textId="77777777" w:rsidR="005C58F1" w:rsidRPr="00466443" w:rsidRDefault="005C58F1" w:rsidP="000267CE">
            <w:pPr>
              <w:rPr>
                <w:rFonts w:cs="Arial"/>
                <w:b/>
                <w:bCs/>
              </w:rPr>
            </w:pPr>
            <w:r w:rsidRPr="00466443">
              <w:rPr>
                <w:rFonts w:cs="Arial"/>
                <w:b/>
                <w:bCs/>
              </w:rPr>
              <w:t>Status</w:t>
            </w:r>
          </w:p>
        </w:tc>
      </w:tr>
      <w:tr w:rsidR="005C58F1" w:rsidRPr="00466443" w14:paraId="41657480" w14:textId="77777777" w:rsidTr="000267CE">
        <w:tc>
          <w:tcPr>
            <w:tcW w:w="2254" w:type="dxa"/>
          </w:tcPr>
          <w:p w14:paraId="696B7FC7" w14:textId="6687B5C1" w:rsidR="005C58F1" w:rsidRPr="00466443" w:rsidRDefault="008D2CDB" w:rsidP="000267CE">
            <w:pPr>
              <w:rPr>
                <w:rFonts w:cs="Arial"/>
              </w:rPr>
            </w:pPr>
            <w:r>
              <w:rPr>
                <w:rFonts w:cs="Arial"/>
              </w:rPr>
              <w:t>January 2019</w:t>
            </w:r>
          </w:p>
        </w:tc>
        <w:tc>
          <w:tcPr>
            <w:tcW w:w="2254" w:type="dxa"/>
          </w:tcPr>
          <w:p w14:paraId="5C11E5C2" w14:textId="732684ED" w:rsidR="005C58F1" w:rsidRPr="00466443" w:rsidRDefault="008D2CDB" w:rsidP="000267CE">
            <w:pPr>
              <w:rPr>
                <w:rFonts w:cs="Arial"/>
              </w:rPr>
            </w:pPr>
            <w:r>
              <w:rPr>
                <w:rFonts w:cs="Arial"/>
              </w:rPr>
              <w:t>0.1</w:t>
            </w:r>
          </w:p>
        </w:tc>
        <w:tc>
          <w:tcPr>
            <w:tcW w:w="2254" w:type="dxa"/>
          </w:tcPr>
          <w:p w14:paraId="35A835F8" w14:textId="00DC2C7B" w:rsidR="005C58F1" w:rsidRPr="00466443" w:rsidRDefault="007502B4" w:rsidP="000267CE">
            <w:pPr>
              <w:rPr>
                <w:rFonts w:cs="Arial"/>
              </w:rPr>
            </w:pPr>
            <w:r>
              <w:rPr>
                <w:rFonts w:cs="Arial"/>
              </w:rPr>
              <w:t>Full Council</w:t>
            </w:r>
          </w:p>
        </w:tc>
        <w:tc>
          <w:tcPr>
            <w:tcW w:w="2254" w:type="dxa"/>
          </w:tcPr>
          <w:p w14:paraId="112B338D" w14:textId="542904F1" w:rsidR="005C58F1" w:rsidRPr="00466443" w:rsidRDefault="008D2CDB" w:rsidP="000267CE">
            <w:pPr>
              <w:rPr>
                <w:rFonts w:cs="Arial"/>
              </w:rPr>
            </w:pPr>
            <w:r>
              <w:rPr>
                <w:rFonts w:cs="Arial"/>
              </w:rPr>
              <w:t>Adopted Policy</w:t>
            </w:r>
          </w:p>
        </w:tc>
      </w:tr>
    </w:tbl>
    <w:p w14:paraId="69D44554" w14:textId="77777777" w:rsidR="005C58F1" w:rsidRPr="0030538B" w:rsidRDefault="005C58F1" w:rsidP="005C58F1">
      <w:pPr>
        <w:rPr>
          <w:rFonts w:cs="Arial"/>
        </w:rPr>
      </w:pPr>
    </w:p>
    <w:p w14:paraId="0E833F66" w14:textId="77777777" w:rsidR="00DB5D16" w:rsidRPr="00466443" w:rsidRDefault="00DB5D16" w:rsidP="00DB5D16">
      <w:pPr>
        <w:pStyle w:val="Heading2"/>
        <w:rPr>
          <w:rFonts w:asciiTheme="minorHAnsi" w:hAnsiTheme="minorHAnsi" w:cs="Arial"/>
        </w:rPr>
      </w:pPr>
      <w:r w:rsidRPr="00466443">
        <w:rPr>
          <w:rFonts w:asciiTheme="minorHAnsi" w:hAnsiTheme="minorHAnsi" w:cs="Arial"/>
        </w:rPr>
        <w:t>Related Policies and Other References</w:t>
      </w:r>
    </w:p>
    <w:tbl>
      <w:tblPr>
        <w:tblStyle w:val="TableGrid"/>
        <w:tblW w:w="0" w:type="auto"/>
        <w:tblLook w:val="04A0" w:firstRow="1" w:lastRow="0" w:firstColumn="1" w:lastColumn="0" w:noHBand="0" w:noVBand="1"/>
      </w:tblPr>
      <w:tblGrid>
        <w:gridCol w:w="2263"/>
        <w:gridCol w:w="6753"/>
      </w:tblGrid>
      <w:tr w:rsidR="00DB5D16" w:rsidRPr="00466443" w14:paraId="74CD1038" w14:textId="77777777" w:rsidTr="006A755E">
        <w:tc>
          <w:tcPr>
            <w:tcW w:w="2263" w:type="dxa"/>
          </w:tcPr>
          <w:p w14:paraId="5C23E96B" w14:textId="77777777" w:rsidR="00DB5D16" w:rsidRPr="00466443" w:rsidRDefault="00DB5D16" w:rsidP="006A755E">
            <w:r w:rsidRPr="00466443">
              <w:rPr>
                <w:rFonts w:cs="Arial"/>
                <w:b/>
                <w:bCs/>
              </w:rPr>
              <w:t>Policy Reference Code</w:t>
            </w:r>
          </w:p>
        </w:tc>
        <w:tc>
          <w:tcPr>
            <w:tcW w:w="6753" w:type="dxa"/>
          </w:tcPr>
          <w:p w14:paraId="68BEA501" w14:textId="77777777" w:rsidR="00DB5D16" w:rsidRPr="00466443" w:rsidRDefault="00DB5D16" w:rsidP="006A755E">
            <w:r w:rsidRPr="00466443">
              <w:rPr>
                <w:rFonts w:cs="Arial"/>
                <w:b/>
                <w:bCs/>
              </w:rPr>
              <w:t>Policy Name</w:t>
            </w:r>
          </w:p>
        </w:tc>
      </w:tr>
      <w:tr w:rsidR="00DB5D16" w:rsidRPr="00466443" w14:paraId="4DE445A3" w14:textId="77777777" w:rsidTr="006A755E">
        <w:tc>
          <w:tcPr>
            <w:tcW w:w="2263" w:type="dxa"/>
          </w:tcPr>
          <w:p w14:paraId="79F43405" w14:textId="020208A5" w:rsidR="00DB5D16" w:rsidRPr="00954320" w:rsidRDefault="00CE0F8F" w:rsidP="006A755E">
            <w:r w:rsidRPr="00954320">
              <w:t>HRP7</w:t>
            </w:r>
          </w:p>
        </w:tc>
        <w:tc>
          <w:tcPr>
            <w:tcW w:w="6753" w:type="dxa"/>
          </w:tcPr>
          <w:p w14:paraId="287C9170" w14:textId="73481D44" w:rsidR="00DB5D16" w:rsidRPr="00466443" w:rsidRDefault="00CE0F8F" w:rsidP="006A755E">
            <w:r>
              <w:t>Disciplinary Policy</w:t>
            </w:r>
          </w:p>
        </w:tc>
      </w:tr>
      <w:tr w:rsidR="00DB5D16" w:rsidRPr="00466443" w14:paraId="66AFE678" w14:textId="77777777" w:rsidTr="006A755E">
        <w:tc>
          <w:tcPr>
            <w:tcW w:w="2263" w:type="dxa"/>
          </w:tcPr>
          <w:p w14:paraId="495050C9" w14:textId="0B3857EF" w:rsidR="00DB5D16" w:rsidRPr="00954320" w:rsidRDefault="00954320" w:rsidP="006A755E">
            <w:r w:rsidRPr="00954320">
              <w:t>HRP11</w:t>
            </w:r>
          </w:p>
        </w:tc>
        <w:tc>
          <w:tcPr>
            <w:tcW w:w="6753" w:type="dxa"/>
          </w:tcPr>
          <w:p w14:paraId="29380F4E" w14:textId="660FC699" w:rsidR="00DB5D16" w:rsidRPr="00466443" w:rsidRDefault="008D2CDB" w:rsidP="006A755E">
            <w:r>
              <w:t>Flexible Working Policy</w:t>
            </w:r>
          </w:p>
        </w:tc>
      </w:tr>
      <w:tr w:rsidR="00CE0F8F" w:rsidRPr="00466443" w14:paraId="468B136D" w14:textId="77777777" w:rsidTr="006A755E">
        <w:tc>
          <w:tcPr>
            <w:tcW w:w="2263" w:type="dxa"/>
          </w:tcPr>
          <w:p w14:paraId="0F596ED6" w14:textId="0176CB40" w:rsidR="00CE0F8F" w:rsidRPr="00954320" w:rsidRDefault="00954320" w:rsidP="00954320">
            <w:r w:rsidRPr="00954320">
              <w:t>C7</w:t>
            </w:r>
          </w:p>
        </w:tc>
        <w:tc>
          <w:tcPr>
            <w:tcW w:w="6753" w:type="dxa"/>
          </w:tcPr>
          <w:p w14:paraId="74FDC568" w14:textId="1AA4E34A" w:rsidR="00CE0F8F" w:rsidRDefault="00CE0F8F" w:rsidP="006A755E">
            <w:r>
              <w:t>Health and Safety Policy</w:t>
            </w:r>
          </w:p>
        </w:tc>
      </w:tr>
    </w:tbl>
    <w:p w14:paraId="78093339" w14:textId="2D06B1DF" w:rsidR="0042125E" w:rsidRPr="00466443" w:rsidRDefault="0042125E" w:rsidP="005C58F1">
      <w:pPr>
        <w:rPr>
          <w:rFonts w:cs="Arial"/>
        </w:rPr>
      </w:pPr>
    </w:p>
    <w:p w14:paraId="40FE60A0" w14:textId="77777777" w:rsidR="005C58F1" w:rsidRPr="00466443" w:rsidRDefault="005C58F1" w:rsidP="005C58F1">
      <w:pPr>
        <w:pStyle w:val="Heading2"/>
        <w:rPr>
          <w:rFonts w:asciiTheme="minorHAnsi" w:hAnsiTheme="minorHAnsi" w:cs="Arial"/>
        </w:rPr>
      </w:pPr>
      <w:bookmarkStart w:id="0" w:name="_Hlk213749486"/>
      <w:r w:rsidRPr="00CE0F8F">
        <w:rPr>
          <w:rFonts w:asciiTheme="minorHAnsi" w:hAnsiTheme="minorHAnsi" w:cs="Arial"/>
        </w:rPr>
        <w:t>Table of Contents</w:t>
      </w:r>
    </w:p>
    <w:tbl>
      <w:tblPr>
        <w:tblStyle w:val="TableGrid"/>
        <w:tblW w:w="0" w:type="auto"/>
        <w:tblLook w:val="04A0" w:firstRow="1" w:lastRow="0" w:firstColumn="1" w:lastColumn="0" w:noHBand="0" w:noVBand="1"/>
      </w:tblPr>
      <w:tblGrid>
        <w:gridCol w:w="1555"/>
        <w:gridCol w:w="7461"/>
      </w:tblGrid>
      <w:tr w:rsidR="005C58F1" w:rsidRPr="00466443" w14:paraId="1047B754" w14:textId="77777777" w:rsidTr="000267CE">
        <w:tc>
          <w:tcPr>
            <w:tcW w:w="1555" w:type="dxa"/>
          </w:tcPr>
          <w:p w14:paraId="79CDA75F" w14:textId="77777777" w:rsidR="005C58F1" w:rsidRPr="00466443" w:rsidRDefault="005C58F1" w:rsidP="000267CE">
            <w:pPr>
              <w:rPr>
                <w:rFonts w:cs="Arial"/>
                <w:b/>
                <w:bCs/>
              </w:rPr>
            </w:pPr>
            <w:r w:rsidRPr="00466443">
              <w:rPr>
                <w:rFonts w:cs="Arial"/>
                <w:b/>
                <w:bCs/>
              </w:rPr>
              <w:t>Section</w:t>
            </w:r>
          </w:p>
        </w:tc>
        <w:tc>
          <w:tcPr>
            <w:tcW w:w="7461" w:type="dxa"/>
          </w:tcPr>
          <w:p w14:paraId="619AF221" w14:textId="77777777" w:rsidR="005C58F1" w:rsidRPr="00466443" w:rsidRDefault="005C58F1" w:rsidP="000267CE">
            <w:pPr>
              <w:rPr>
                <w:rFonts w:cs="Arial"/>
                <w:b/>
                <w:bCs/>
              </w:rPr>
            </w:pPr>
            <w:r w:rsidRPr="00466443">
              <w:rPr>
                <w:rFonts w:cs="Arial"/>
                <w:b/>
                <w:bCs/>
              </w:rPr>
              <w:t>Title</w:t>
            </w:r>
          </w:p>
        </w:tc>
      </w:tr>
      <w:tr w:rsidR="005C58F1" w:rsidRPr="00466443" w14:paraId="3D53ACCC" w14:textId="77777777" w:rsidTr="000267CE">
        <w:tc>
          <w:tcPr>
            <w:tcW w:w="1555" w:type="dxa"/>
          </w:tcPr>
          <w:p w14:paraId="2A50D51A" w14:textId="77777777" w:rsidR="005C58F1" w:rsidRPr="00466443" w:rsidRDefault="005C58F1" w:rsidP="000267CE">
            <w:pPr>
              <w:rPr>
                <w:rFonts w:cs="Arial"/>
              </w:rPr>
            </w:pPr>
            <w:r w:rsidRPr="00466443">
              <w:rPr>
                <w:rFonts w:cs="Arial"/>
              </w:rPr>
              <w:t>1.0</w:t>
            </w:r>
          </w:p>
        </w:tc>
        <w:tc>
          <w:tcPr>
            <w:tcW w:w="7461" w:type="dxa"/>
          </w:tcPr>
          <w:p w14:paraId="7A0C1A23" w14:textId="1E1CF69C" w:rsidR="005C58F1" w:rsidRPr="00466443" w:rsidRDefault="00CE0F8F" w:rsidP="000267CE">
            <w:pPr>
              <w:rPr>
                <w:rFonts w:cs="Arial"/>
              </w:rPr>
            </w:pPr>
            <w:r w:rsidRPr="00CE0F8F">
              <w:rPr>
                <w:rFonts w:cs="Arial"/>
              </w:rPr>
              <w:t>Introduction</w:t>
            </w:r>
          </w:p>
        </w:tc>
      </w:tr>
      <w:tr w:rsidR="005C58F1" w:rsidRPr="00466443" w14:paraId="0B530D0B" w14:textId="77777777" w:rsidTr="000267CE">
        <w:tc>
          <w:tcPr>
            <w:tcW w:w="1555" w:type="dxa"/>
          </w:tcPr>
          <w:p w14:paraId="4E18E028" w14:textId="2B6EA9A0" w:rsidR="005C58F1" w:rsidRPr="00466443" w:rsidRDefault="00CE0F8F" w:rsidP="000267CE">
            <w:pPr>
              <w:rPr>
                <w:rFonts w:cs="Arial"/>
              </w:rPr>
            </w:pPr>
            <w:r>
              <w:rPr>
                <w:rFonts w:cs="Arial"/>
              </w:rPr>
              <w:t>2.0</w:t>
            </w:r>
          </w:p>
        </w:tc>
        <w:tc>
          <w:tcPr>
            <w:tcW w:w="7461" w:type="dxa"/>
          </w:tcPr>
          <w:p w14:paraId="2B5C3467" w14:textId="70CFD213" w:rsidR="005C58F1" w:rsidRPr="00466443" w:rsidRDefault="00CE0F8F" w:rsidP="000267CE">
            <w:pPr>
              <w:rPr>
                <w:rFonts w:cs="Arial"/>
              </w:rPr>
            </w:pPr>
            <w:r w:rsidRPr="00CE0F8F">
              <w:rPr>
                <w:rFonts w:cs="Arial"/>
              </w:rPr>
              <w:t>Aim and Scope</w:t>
            </w:r>
          </w:p>
        </w:tc>
      </w:tr>
      <w:tr w:rsidR="005C58F1" w:rsidRPr="00466443" w14:paraId="655FF6B3" w14:textId="77777777" w:rsidTr="000267CE">
        <w:tc>
          <w:tcPr>
            <w:tcW w:w="1555" w:type="dxa"/>
          </w:tcPr>
          <w:p w14:paraId="0C280643" w14:textId="540B7ABC" w:rsidR="005C58F1" w:rsidRPr="00466443" w:rsidRDefault="00CE0F8F" w:rsidP="000267CE">
            <w:pPr>
              <w:rPr>
                <w:rFonts w:cs="Arial"/>
              </w:rPr>
            </w:pPr>
            <w:r>
              <w:rPr>
                <w:rFonts w:cs="Arial"/>
              </w:rPr>
              <w:t>3.0</w:t>
            </w:r>
          </w:p>
        </w:tc>
        <w:tc>
          <w:tcPr>
            <w:tcW w:w="7461" w:type="dxa"/>
          </w:tcPr>
          <w:p w14:paraId="7684F2B5" w14:textId="6C48AB30" w:rsidR="005C58F1" w:rsidRPr="00466443" w:rsidRDefault="00CE0F8F" w:rsidP="000267CE">
            <w:pPr>
              <w:rPr>
                <w:rFonts w:cs="Arial"/>
              </w:rPr>
            </w:pPr>
            <w:r w:rsidRPr="00CE0F8F">
              <w:rPr>
                <w:rFonts w:cs="Arial"/>
              </w:rPr>
              <w:t>Who This Applies To</w:t>
            </w:r>
          </w:p>
        </w:tc>
      </w:tr>
      <w:tr w:rsidR="005C58F1" w:rsidRPr="00466443" w14:paraId="16B4250F" w14:textId="77777777" w:rsidTr="000267CE">
        <w:tc>
          <w:tcPr>
            <w:tcW w:w="1555" w:type="dxa"/>
          </w:tcPr>
          <w:p w14:paraId="2D880F10" w14:textId="1C233795" w:rsidR="005C58F1" w:rsidRPr="00466443" w:rsidRDefault="00CE0F8F" w:rsidP="000267CE">
            <w:pPr>
              <w:rPr>
                <w:rFonts w:cs="Arial"/>
              </w:rPr>
            </w:pPr>
            <w:r>
              <w:rPr>
                <w:rFonts w:cs="Arial"/>
              </w:rPr>
              <w:t>4.0</w:t>
            </w:r>
          </w:p>
        </w:tc>
        <w:tc>
          <w:tcPr>
            <w:tcW w:w="7461" w:type="dxa"/>
          </w:tcPr>
          <w:p w14:paraId="57B6B114" w14:textId="762B9970" w:rsidR="005C58F1" w:rsidRPr="00466443" w:rsidRDefault="00CE0F8F" w:rsidP="000267CE">
            <w:pPr>
              <w:rPr>
                <w:rFonts w:cs="Arial"/>
              </w:rPr>
            </w:pPr>
            <w:r w:rsidRPr="00CE0F8F">
              <w:rPr>
                <w:rFonts w:cs="Arial"/>
              </w:rPr>
              <w:t>Legal Framework</w:t>
            </w:r>
          </w:p>
        </w:tc>
      </w:tr>
      <w:tr w:rsidR="005C58F1" w:rsidRPr="00466443" w14:paraId="038BAF4B" w14:textId="77777777" w:rsidTr="000267CE">
        <w:tc>
          <w:tcPr>
            <w:tcW w:w="1555" w:type="dxa"/>
          </w:tcPr>
          <w:p w14:paraId="17FE6D4B" w14:textId="052D5FA2" w:rsidR="005C58F1" w:rsidRPr="00466443" w:rsidRDefault="00CE0F8F" w:rsidP="000267CE">
            <w:pPr>
              <w:rPr>
                <w:rFonts w:cs="Arial"/>
              </w:rPr>
            </w:pPr>
            <w:r>
              <w:rPr>
                <w:rFonts w:cs="Arial"/>
              </w:rPr>
              <w:t>5.0</w:t>
            </w:r>
          </w:p>
        </w:tc>
        <w:tc>
          <w:tcPr>
            <w:tcW w:w="7461" w:type="dxa"/>
          </w:tcPr>
          <w:p w14:paraId="16B39C9B" w14:textId="60A3ECF1" w:rsidR="005C58F1" w:rsidRPr="00466443" w:rsidRDefault="00CE0F8F" w:rsidP="000267CE">
            <w:pPr>
              <w:rPr>
                <w:rFonts w:cs="Arial"/>
              </w:rPr>
            </w:pPr>
            <w:r w:rsidRPr="00CE0F8F">
              <w:rPr>
                <w:rFonts w:cs="Arial"/>
              </w:rPr>
              <w:t xml:space="preserve">Defining Display Screen Equipment </w:t>
            </w:r>
            <w:r w:rsidR="00EE5E2F">
              <w:rPr>
                <w:rFonts w:cs="Arial"/>
              </w:rPr>
              <w:t>(DSE)</w:t>
            </w:r>
          </w:p>
        </w:tc>
      </w:tr>
      <w:tr w:rsidR="005C58F1" w:rsidRPr="00466443" w14:paraId="57452EB8" w14:textId="77777777" w:rsidTr="000267CE">
        <w:tc>
          <w:tcPr>
            <w:tcW w:w="1555" w:type="dxa"/>
          </w:tcPr>
          <w:p w14:paraId="20D08094" w14:textId="5C96DA7B" w:rsidR="005C58F1" w:rsidRPr="00466443" w:rsidRDefault="00CE0F8F" w:rsidP="000267CE">
            <w:pPr>
              <w:rPr>
                <w:rFonts w:cs="Arial"/>
              </w:rPr>
            </w:pPr>
            <w:r>
              <w:rPr>
                <w:rFonts w:cs="Arial"/>
              </w:rPr>
              <w:t>6.0</w:t>
            </w:r>
          </w:p>
        </w:tc>
        <w:tc>
          <w:tcPr>
            <w:tcW w:w="7461" w:type="dxa"/>
          </w:tcPr>
          <w:p w14:paraId="79E1674F" w14:textId="1D56A259" w:rsidR="005C58F1" w:rsidRPr="00466443" w:rsidRDefault="00CE0F8F" w:rsidP="000267CE">
            <w:pPr>
              <w:rPr>
                <w:rFonts w:cs="Arial"/>
              </w:rPr>
            </w:pPr>
            <w:r w:rsidRPr="00CE0F8F">
              <w:rPr>
                <w:rFonts w:cs="Arial"/>
              </w:rPr>
              <w:t>Roles and Responsibilities</w:t>
            </w:r>
          </w:p>
        </w:tc>
      </w:tr>
      <w:tr w:rsidR="005C58F1" w:rsidRPr="00466443" w14:paraId="6D5F3318" w14:textId="77777777" w:rsidTr="000267CE">
        <w:tc>
          <w:tcPr>
            <w:tcW w:w="1555" w:type="dxa"/>
          </w:tcPr>
          <w:p w14:paraId="141E2DC6" w14:textId="4D28F177" w:rsidR="005C58F1" w:rsidRPr="00466443" w:rsidRDefault="00CE0F8F" w:rsidP="000267CE">
            <w:pPr>
              <w:rPr>
                <w:rFonts w:cs="Arial"/>
              </w:rPr>
            </w:pPr>
            <w:r>
              <w:rPr>
                <w:rFonts w:cs="Arial"/>
              </w:rPr>
              <w:t>7.0</w:t>
            </w:r>
          </w:p>
        </w:tc>
        <w:tc>
          <w:tcPr>
            <w:tcW w:w="7461" w:type="dxa"/>
          </w:tcPr>
          <w:p w14:paraId="64CED21B" w14:textId="62DBE768" w:rsidR="005C58F1" w:rsidRPr="00466443" w:rsidRDefault="00CE0F8F" w:rsidP="000267CE">
            <w:pPr>
              <w:rPr>
                <w:rFonts w:cs="Arial"/>
              </w:rPr>
            </w:pPr>
            <w:r w:rsidRPr="00CE0F8F">
              <w:rPr>
                <w:rFonts w:cs="Arial"/>
              </w:rPr>
              <w:t>Statement of the Council</w:t>
            </w:r>
          </w:p>
        </w:tc>
      </w:tr>
      <w:tr w:rsidR="005C58F1" w:rsidRPr="00466443" w14:paraId="7BCB433E" w14:textId="77777777" w:rsidTr="000267CE">
        <w:tc>
          <w:tcPr>
            <w:tcW w:w="1555" w:type="dxa"/>
          </w:tcPr>
          <w:p w14:paraId="7837FF06" w14:textId="2BA5E040" w:rsidR="005C58F1" w:rsidRPr="00466443" w:rsidRDefault="00CE0F8F" w:rsidP="000267CE">
            <w:pPr>
              <w:rPr>
                <w:rFonts w:cs="Arial"/>
              </w:rPr>
            </w:pPr>
            <w:r>
              <w:rPr>
                <w:rFonts w:cs="Arial"/>
              </w:rPr>
              <w:t>8.0</w:t>
            </w:r>
          </w:p>
        </w:tc>
        <w:tc>
          <w:tcPr>
            <w:tcW w:w="7461" w:type="dxa"/>
          </w:tcPr>
          <w:p w14:paraId="173F8B2F" w14:textId="0E967B26" w:rsidR="005C58F1" w:rsidRPr="00466443" w:rsidRDefault="00CE0F8F" w:rsidP="000267CE">
            <w:pPr>
              <w:rPr>
                <w:rFonts w:cs="Arial"/>
              </w:rPr>
            </w:pPr>
            <w:r w:rsidRPr="00CE0F8F">
              <w:rPr>
                <w:rFonts w:cs="Arial"/>
              </w:rPr>
              <w:t>Eye-Health Risks of Working with DSE</w:t>
            </w:r>
          </w:p>
        </w:tc>
      </w:tr>
      <w:tr w:rsidR="005C58F1" w:rsidRPr="00466443" w14:paraId="5B202681" w14:textId="77777777" w:rsidTr="000267CE">
        <w:tc>
          <w:tcPr>
            <w:tcW w:w="1555" w:type="dxa"/>
          </w:tcPr>
          <w:p w14:paraId="3FDF9211" w14:textId="48428987" w:rsidR="005C58F1" w:rsidRPr="00466443" w:rsidRDefault="00CE0F8F" w:rsidP="000267CE">
            <w:pPr>
              <w:rPr>
                <w:rFonts w:cs="Arial"/>
              </w:rPr>
            </w:pPr>
            <w:r>
              <w:rPr>
                <w:rFonts w:cs="Arial"/>
              </w:rPr>
              <w:t>9.0</w:t>
            </w:r>
          </w:p>
        </w:tc>
        <w:tc>
          <w:tcPr>
            <w:tcW w:w="7461" w:type="dxa"/>
          </w:tcPr>
          <w:p w14:paraId="7EF3696B" w14:textId="5F65005C" w:rsidR="005C58F1" w:rsidRPr="00466443" w:rsidRDefault="00CE0F8F" w:rsidP="000267CE">
            <w:pPr>
              <w:jc w:val="both"/>
              <w:rPr>
                <w:rFonts w:cs="Arial"/>
              </w:rPr>
            </w:pPr>
            <w:r w:rsidRPr="00CE0F8F">
              <w:rPr>
                <w:rFonts w:cs="Arial"/>
              </w:rPr>
              <w:t xml:space="preserve">Eye Tests and </w:t>
            </w:r>
            <w:r w:rsidR="0031616C">
              <w:rPr>
                <w:rFonts w:cs="Arial"/>
              </w:rPr>
              <w:t xml:space="preserve">Requesting </w:t>
            </w:r>
            <w:r w:rsidRPr="00CE0F8F">
              <w:rPr>
                <w:rFonts w:cs="Arial"/>
              </w:rPr>
              <w:t>Spectacles for DSE Use</w:t>
            </w:r>
          </w:p>
        </w:tc>
      </w:tr>
      <w:tr w:rsidR="001D4454" w:rsidRPr="00466443" w14:paraId="623A5310" w14:textId="77777777" w:rsidTr="000267CE">
        <w:tc>
          <w:tcPr>
            <w:tcW w:w="1555" w:type="dxa"/>
          </w:tcPr>
          <w:p w14:paraId="51A04281" w14:textId="71AC612C" w:rsidR="001D4454" w:rsidRPr="00466443" w:rsidRDefault="00CE0F8F" w:rsidP="000267CE">
            <w:pPr>
              <w:rPr>
                <w:rFonts w:cs="Arial"/>
              </w:rPr>
            </w:pPr>
            <w:r>
              <w:rPr>
                <w:rFonts w:cs="Arial"/>
              </w:rPr>
              <w:t>10.0</w:t>
            </w:r>
          </w:p>
        </w:tc>
        <w:tc>
          <w:tcPr>
            <w:tcW w:w="7461" w:type="dxa"/>
          </w:tcPr>
          <w:p w14:paraId="0C2428B5" w14:textId="245F3240" w:rsidR="001D4454" w:rsidRPr="00466443" w:rsidRDefault="00CE0F8F" w:rsidP="000267CE">
            <w:pPr>
              <w:jc w:val="both"/>
              <w:rPr>
                <w:rFonts w:cs="Arial"/>
              </w:rPr>
            </w:pPr>
            <w:r w:rsidRPr="00CE0F8F">
              <w:rPr>
                <w:rFonts w:cs="Arial"/>
              </w:rPr>
              <w:t>Arranging</w:t>
            </w:r>
            <w:r w:rsidR="0031616C">
              <w:rPr>
                <w:rFonts w:cs="Arial"/>
              </w:rPr>
              <w:t xml:space="preserve"> </w:t>
            </w:r>
            <w:r w:rsidRPr="00CE0F8F">
              <w:rPr>
                <w:rFonts w:cs="Arial"/>
              </w:rPr>
              <w:t xml:space="preserve">Eye Test and </w:t>
            </w:r>
            <w:r w:rsidR="0031616C">
              <w:rPr>
                <w:rFonts w:cs="Arial"/>
              </w:rPr>
              <w:t>Providing</w:t>
            </w:r>
            <w:r w:rsidRPr="00CE0F8F">
              <w:rPr>
                <w:rFonts w:cs="Arial"/>
              </w:rPr>
              <w:t xml:space="preserve"> Reimbursement</w:t>
            </w:r>
          </w:p>
        </w:tc>
      </w:tr>
      <w:tr w:rsidR="001D4454" w:rsidRPr="00466443" w14:paraId="2611D429" w14:textId="77777777" w:rsidTr="000267CE">
        <w:tc>
          <w:tcPr>
            <w:tcW w:w="1555" w:type="dxa"/>
          </w:tcPr>
          <w:p w14:paraId="6CFB9F7E" w14:textId="1939B68A" w:rsidR="001D4454" w:rsidRPr="00466443" w:rsidRDefault="00CE0F8F" w:rsidP="000267CE">
            <w:pPr>
              <w:rPr>
                <w:rFonts w:cs="Arial"/>
              </w:rPr>
            </w:pPr>
            <w:r>
              <w:rPr>
                <w:rFonts w:cs="Arial"/>
              </w:rPr>
              <w:t>11.0</w:t>
            </w:r>
          </w:p>
        </w:tc>
        <w:tc>
          <w:tcPr>
            <w:tcW w:w="7461" w:type="dxa"/>
          </w:tcPr>
          <w:p w14:paraId="0C229744" w14:textId="124B851B" w:rsidR="001D4454" w:rsidRPr="00466443" w:rsidRDefault="00CE0F8F" w:rsidP="000267CE">
            <w:pPr>
              <w:jc w:val="both"/>
              <w:rPr>
                <w:rFonts w:cs="Arial"/>
              </w:rPr>
            </w:pPr>
            <w:r w:rsidRPr="00CE0F8F">
              <w:rPr>
                <w:rFonts w:cs="Arial"/>
              </w:rPr>
              <w:t>Failure to Comply with the Policy</w:t>
            </w:r>
          </w:p>
        </w:tc>
      </w:tr>
      <w:tr w:rsidR="001D4454" w:rsidRPr="00466443" w14:paraId="306D00EE" w14:textId="77777777" w:rsidTr="000267CE">
        <w:tc>
          <w:tcPr>
            <w:tcW w:w="1555" w:type="dxa"/>
          </w:tcPr>
          <w:p w14:paraId="72BF20A7" w14:textId="2AC0246B" w:rsidR="001D4454" w:rsidRPr="00466443" w:rsidRDefault="00CE0F8F" w:rsidP="000267CE">
            <w:pPr>
              <w:rPr>
                <w:rFonts w:cs="Arial"/>
              </w:rPr>
            </w:pPr>
            <w:r>
              <w:rPr>
                <w:rFonts w:cs="Arial"/>
              </w:rPr>
              <w:t>12.0</w:t>
            </w:r>
          </w:p>
        </w:tc>
        <w:tc>
          <w:tcPr>
            <w:tcW w:w="7461" w:type="dxa"/>
          </w:tcPr>
          <w:p w14:paraId="2954AC91" w14:textId="5E5BD1AE" w:rsidR="001D4454" w:rsidRPr="00466443" w:rsidRDefault="00CE0F8F" w:rsidP="000267CE">
            <w:pPr>
              <w:jc w:val="both"/>
              <w:rPr>
                <w:rFonts w:cs="Arial"/>
              </w:rPr>
            </w:pPr>
            <w:r>
              <w:rPr>
                <w:rFonts w:cs="Arial"/>
              </w:rPr>
              <w:t>Further Support</w:t>
            </w:r>
          </w:p>
        </w:tc>
      </w:tr>
    </w:tbl>
    <w:bookmarkEnd w:id="0"/>
    <w:p w14:paraId="752CF916" w14:textId="77777777" w:rsidR="005C58F1" w:rsidRPr="00466443" w:rsidRDefault="005C58F1" w:rsidP="005C58F1">
      <w:pPr>
        <w:tabs>
          <w:tab w:val="left" w:pos="7300"/>
        </w:tabs>
        <w:rPr>
          <w:rFonts w:cs="Arial"/>
        </w:rPr>
      </w:pPr>
      <w:r w:rsidRPr="00466443">
        <w:rPr>
          <w:rFonts w:cs="Arial"/>
        </w:rPr>
        <w:tab/>
      </w:r>
    </w:p>
    <w:p w14:paraId="7018A040" w14:textId="77777777" w:rsidR="00B063A8" w:rsidRDefault="00B063A8" w:rsidP="00717A3D">
      <w:pPr>
        <w:rPr>
          <w:rFonts w:cs="Arial"/>
        </w:rPr>
      </w:pPr>
    </w:p>
    <w:p w14:paraId="7EEAA8B8" w14:textId="77777777" w:rsidR="00596578" w:rsidRDefault="00596578" w:rsidP="00717A3D">
      <w:pPr>
        <w:rPr>
          <w:rFonts w:cs="Arial"/>
        </w:rPr>
      </w:pPr>
    </w:p>
    <w:p w14:paraId="4E9AD300" w14:textId="77777777" w:rsidR="00934CEC" w:rsidRDefault="00934CEC" w:rsidP="00717A3D">
      <w:pPr>
        <w:rPr>
          <w:rFonts w:cs="Arial"/>
        </w:rPr>
      </w:pPr>
    </w:p>
    <w:p w14:paraId="346956D4" w14:textId="77777777" w:rsidR="001F20F0" w:rsidRDefault="001F20F0" w:rsidP="00717A3D">
      <w:pPr>
        <w:rPr>
          <w:rFonts w:cs="Arial"/>
        </w:rPr>
      </w:pPr>
    </w:p>
    <w:p w14:paraId="23CEA5E3" w14:textId="52C0089E" w:rsidR="00FD47BD" w:rsidRDefault="001F20F0" w:rsidP="00317416">
      <w:pPr>
        <w:pStyle w:val="Heading2"/>
        <w:numPr>
          <w:ilvl w:val="0"/>
          <w:numId w:val="1"/>
        </w:numPr>
        <w:rPr>
          <w:rFonts w:asciiTheme="minorHAnsi" w:hAnsiTheme="minorHAnsi" w:cs="Arial"/>
          <w:b/>
          <w:bCs/>
          <w:color w:val="auto"/>
          <w:sz w:val="24"/>
          <w:szCs w:val="24"/>
        </w:rPr>
      </w:pPr>
      <w:r w:rsidRPr="000C040D">
        <w:rPr>
          <w:rFonts w:asciiTheme="minorHAnsi" w:hAnsiTheme="minorHAnsi" w:cs="Arial"/>
          <w:b/>
          <w:bCs/>
          <w:color w:val="auto"/>
          <w:sz w:val="24"/>
          <w:szCs w:val="24"/>
        </w:rPr>
        <w:lastRenderedPageBreak/>
        <w:t>Introduction</w:t>
      </w:r>
    </w:p>
    <w:p w14:paraId="1A750470" w14:textId="77777777" w:rsidR="00DB5295" w:rsidRPr="00DB5295" w:rsidRDefault="00DB5295" w:rsidP="00DB5295"/>
    <w:p w14:paraId="671C46D6" w14:textId="5B738321" w:rsidR="00FD2DDC" w:rsidRPr="002340DE" w:rsidRDefault="00FD2DDC" w:rsidP="00317416">
      <w:pPr>
        <w:pStyle w:val="ListParagraph"/>
        <w:numPr>
          <w:ilvl w:val="1"/>
          <w:numId w:val="1"/>
        </w:numPr>
        <w:ind w:left="1440"/>
        <w:jc w:val="both"/>
        <w:rPr>
          <w:rFonts w:cs="Arial"/>
          <w:color w:val="000000" w:themeColor="text1"/>
        </w:rPr>
      </w:pPr>
      <w:r w:rsidRPr="002340DE">
        <w:rPr>
          <w:rFonts w:cs="Arial"/>
          <w:color w:val="000000" w:themeColor="text1"/>
        </w:rPr>
        <w:t>Seaford Town Council (the Council) prioritises the wellbeing of its</w:t>
      </w:r>
      <w:r w:rsidR="00BF049B">
        <w:rPr>
          <w:rFonts w:cs="Arial"/>
          <w:color w:val="000000" w:themeColor="text1"/>
        </w:rPr>
        <w:t xml:space="preserve"> officers</w:t>
      </w:r>
      <w:r w:rsidRPr="002340DE">
        <w:rPr>
          <w:rFonts w:cs="Arial"/>
          <w:color w:val="000000" w:themeColor="text1"/>
        </w:rPr>
        <w:t xml:space="preserve"> and </w:t>
      </w:r>
      <w:r w:rsidR="00780927">
        <w:rPr>
          <w:rFonts w:cs="Arial"/>
          <w:color w:val="000000" w:themeColor="text1"/>
        </w:rPr>
        <w:t>aims</w:t>
      </w:r>
      <w:r w:rsidRPr="002340DE">
        <w:rPr>
          <w:rFonts w:cs="Arial"/>
          <w:color w:val="000000" w:themeColor="text1"/>
        </w:rPr>
        <w:t xml:space="preserve"> to protect their health by creating a safe working environment. </w:t>
      </w:r>
    </w:p>
    <w:p w14:paraId="772F3827" w14:textId="16EC452F" w:rsidR="005A686A" w:rsidRPr="00565B85" w:rsidRDefault="00696C1F" w:rsidP="00317416">
      <w:pPr>
        <w:pStyle w:val="ListParagraph"/>
        <w:numPr>
          <w:ilvl w:val="1"/>
          <w:numId w:val="1"/>
        </w:numPr>
        <w:ind w:left="1440"/>
        <w:jc w:val="both"/>
        <w:rPr>
          <w:rFonts w:cs="Arial"/>
          <w:color w:val="000000" w:themeColor="text1"/>
        </w:rPr>
      </w:pPr>
      <w:r w:rsidRPr="002340DE">
        <w:rPr>
          <w:rFonts w:cs="Arial"/>
          <w:color w:val="000000" w:themeColor="text1"/>
        </w:rPr>
        <w:t xml:space="preserve">The Council </w:t>
      </w:r>
      <w:r w:rsidR="00BF049B">
        <w:rPr>
          <w:rFonts w:cs="Arial"/>
          <w:color w:val="000000" w:themeColor="text1"/>
        </w:rPr>
        <w:t>recognises that</w:t>
      </w:r>
      <w:r w:rsidR="00780927">
        <w:rPr>
          <w:rFonts w:cs="Arial"/>
          <w:color w:val="000000" w:themeColor="text1"/>
        </w:rPr>
        <w:t xml:space="preserve"> </w:t>
      </w:r>
      <w:r w:rsidR="00565B85">
        <w:rPr>
          <w:rFonts w:cs="Arial"/>
          <w:color w:val="000000" w:themeColor="text1"/>
        </w:rPr>
        <w:t xml:space="preserve">eye-health risks may arise from the regular </w:t>
      </w:r>
      <w:r w:rsidR="00780927" w:rsidRPr="00565B85">
        <w:rPr>
          <w:rFonts w:cs="Arial"/>
          <w:color w:val="000000" w:themeColor="text1"/>
        </w:rPr>
        <w:t xml:space="preserve">use of </w:t>
      </w:r>
      <w:r w:rsidR="00A07AD7">
        <w:rPr>
          <w:rFonts w:cs="Arial"/>
          <w:color w:val="000000" w:themeColor="text1"/>
        </w:rPr>
        <w:t>D</w:t>
      </w:r>
      <w:r w:rsidR="00FB638B" w:rsidRPr="00565B85">
        <w:rPr>
          <w:rFonts w:cs="Arial"/>
          <w:color w:val="000000" w:themeColor="text1"/>
        </w:rPr>
        <w:t xml:space="preserve">isplay </w:t>
      </w:r>
      <w:r w:rsidR="00A07AD7">
        <w:rPr>
          <w:rFonts w:cs="Arial"/>
          <w:color w:val="000000" w:themeColor="text1"/>
        </w:rPr>
        <w:t>S</w:t>
      </w:r>
      <w:r w:rsidR="00FB638B" w:rsidRPr="00565B85">
        <w:rPr>
          <w:rFonts w:cs="Arial"/>
          <w:color w:val="000000" w:themeColor="text1"/>
        </w:rPr>
        <w:t xml:space="preserve">creen </w:t>
      </w:r>
      <w:r w:rsidR="00A07AD7">
        <w:rPr>
          <w:rFonts w:cs="Arial"/>
          <w:color w:val="000000" w:themeColor="text1"/>
        </w:rPr>
        <w:t>E</w:t>
      </w:r>
      <w:r w:rsidR="002340DE" w:rsidRPr="00565B85">
        <w:rPr>
          <w:rFonts w:cs="Arial"/>
          <w:color w:val="000000" w:themeColor="text1"/>
        </w:rPr>
        <w:t xml:space="preserve">quipment </w:t>
      </w:r>
      <w:r w:rsidR="00155F72" w:rsidRPr="00565B85">
        <w:rPr>
          <w:rFonts w:cs="Arial"/>
          <w:color w:val="000000" w:themeColor="text1"/>
        </w:rPr>
        <w:t>(DSE)</w:t>
      </w:r>
      <w:r w:rsidR="00780927" w:rsidRPr="00565B85">
        <w:rPr>
          <w:rFonts w:cs="Arial"/>
          <w:color w:val="000000" w:themeColor="text1"/>
        </w:rPr>
        <w:t xml:space="preserve">, </w:t>
      </w:r>
      <w:r w:rsidR="005A686A" w:rsidRPr="00565B85">
        <w:rPr>
          <w:rFonts w:cs="Arial"/>
          <w:color w:val="000000" w:themeColor="text1"/>
        </w:rPr>
        <w:t>such as computer</w:t>
      </w:r>
      <w:r w:rsidR="002340DE" w:rsidRPr="00565B85">
        <w:rPr>
          <w:rFonts w:cs="Arial"/>
          <w:color w:val="000000" w:themeColor="text1"/>
        </w:rPr>
        <w:t>s</w:t>
      </w:r>
      <w:r w:rsidR="005A686A" w:rsidRPr="00565B85">
        <w:rPr>
          <w:rFonts w:cs="Arial"/>
          <w:color w:val="000000" w:themeColor="text1"/>
        </w:rPr>
        <w:t>, monitors or other display screens</w:t>
      </w:r>
      <w:r w:rsidR="005B6574">
        <w:rPr>
          <w:rFonts w:cs="Arial"/>
          <w:color w:val="000000" w:themeColor="text1"/>
        </w:rPr>
        <w:t>.</w:t>
      </w:r>
    </w:p>
    <w:p w14:paraId="5225259C" w14:textId="0126E55C" w:rsidR="002340DE" w:rsidRPr="00780927" w:rsidRDefault="00BF049B" w:rsidP="00317416">
      <w:pPr>
        <w:pStyle w:val="ListParagraph"/>
        <w:numPr>
          <w:ilvl w:val="1"/>
          <w:numId w:val="1"/>
        </w:numPr>
        <w:ind w:left="1440"/>
        <w:jc w:val="both"/>
        <w:rPr>
          <w:rFonts w:cs="Arial"/>
          <w:color w:val="000000" w:themeColor="text1"/>
        </w:rPr>
      </w:pPr>
      <w:r>
        <w:rPr>
          <w:rFonts w:cs="Arial"/>
          <w:color w:val="000000" w:themeColor="text1"/>
        </w:rPr>
        <w:t>T</w:t>
      </w:r>
      <w:r w:rsidR="002340DE" w:rsidRPr="002340DE">
        <w:rPr>
          <w:rFonts w:cs="Arial"/>
          <w:color w:val="000000" w:themeColor="text1"/>
        </w:rPr>
        <w:t>he Council</w:t>
      </w:r>
      <w:r>
        <w:rPr>
          <w:rFonts w:cs="Arial"/>
          <w:color w:val="000000" w:themeColor="text1"/>
        </w:rPr>
        <w:t xml:space="preserve"> is therefore</w:t>
      </w:r>
      <w:r w:rsidR="002340DE" w:rsidRPr="002340DE">
        <w:rPr>
          <w:rFonts w:cs="Arial"/>
          <w:color w:val="000000" w:themeColor="text1"/>
        </w:rPr>
        <w:t xml:space="preserve"> </w:t>
      </w:r>
      <w:r>
        <w:rPr>
          <w:rFonts w:cs="Arial"/>
          <w:color w:val="000000" w:themeColor="text1"/>
        </w:rPr>
        <w:t>committed</w:t>
      </w:r>
      <w:r w:rsidR="002340DE" w:rsidRPr="002340DE">
        <w:rPr>
          <w:rFonts w:cs="Arial"/>
          <w:color w:val="000000" w:themeColor="text1"/>
        </w:rPr>
        <w:t xml:space="preserve"> to </w:t>
      </w:r>
      <w:r w:rsidR="00780927">
        <w:rPr>
          <w:rFonts w:cs="Arial"/>
          <w:color w:val="000000" w:themeColor="text1"/>
        </w:rPr>
        <w:t>support</w:t>
      </w:r>
      <w:r>
        <w:rPr>
          <w:rFonts w:cs="Arial"/>
          <w:color w:val="000000" w:themeColor="text1"/>
        </w:rPr>
        <w:t>ing</w:t>
      </w:r>
      <w:r w:rsidR="00780927">
        <w:rPr>
          <w:rFonts w:cs="Arial"/>
          <w:color w:val="000000" w:themeColor="text1"/>
        </w:rPr>
        <w:t xml:space="preserve"> the eye health of its officers and </w:t>
      </w:r>
      <w:r>
        <w:rPr>
          <w:rFonts w:cs="Arial"/>
          <w:color w:val="000000" w:themeColor="text1"/>
        </w:rPr>
        <w:t>reducing</w:t>
      </w:r>
      <w:r w:rsidR="00780927">
        <w:rPr>
          <w:rFonts w:cs="Arial"/>
          <w:color w:val="000000" w:themeColor="text1"/>
        </w:rPr>
        <w:t xml:space="preserve"> the</w:t>
      </w:r>
      <w:r w:rsidR="00565B85">
        <w:rPr>
          <w:rFonts w:cs="Arial"/>
          <w:color w:val="000000" w:themeColor="text1"/>
        </w:rPr>
        <w:t xml:space="preserve"> </w:t>
      </w:r>
      <w:r>
        <w:rPr>
          <w:rFonts w:cs="Arial"/>
          <w:color w:val="000000" w:themeColor="text1"/>
        </w:rPr>
        <w:t xml:space="preserve">risks associated with </w:t>
      </w:r>
      <w:r w:rsidR="00565B85">
        <w:rPr>
          <w:rFonts w:cs="Arial"/>
          <w:color w:val="000000" w:themeColor="text1"/>
        </w:rPr>
        <w:t>DSE use</w:t>
      </w:r>
      <w:r w:rsidR="002340DE" w:rsidRPr="00780927">
        <w:rPr>
          <w:rFonts w:cs="Arial"/>
          <w:color w:val="000000" w:themeColor="text1"/>
        </w:rPr>
        <w:t>.</w:t>
      </w:r>
    </w:p>
    <w:p w14:paraId="0BC8D660" w14:textId="4F3C80CB" w:rsidR="002340DE" w:rsidRPr="000433DA" w:rsidRDefault="000433DA" w:rsidP="00317416">
      <w:pPr>
        <w:pStyle w:val="ListParagraph"/>
        <w:numPr>
          <w:ilvl w:val="1"/>
          <w:numId w:val="1"/>
        </w:numPr>
        <w:ind w:left="1440"/>
        <w:jc w:val="both"/>
        <w:rPr>
          <w:rFonts w:cs="Arial"/>
          <w:color w:val="000000" w:themeColor="text1"/>
        </w:rPr>
      </w:pPr>
      <w:r>
        <w:rPr>
          <w:rFonts w:cs="Arial"/>
          <w:color w:val="000000" w:themeColor="text1"/>
        </w:rPr>
        <w:t>T</w:t>
      </w:r>
      <w:r w:rsidR="002340DE">
        <w:rPr>
          <w:rFonts w:cs="Arial"/>
          <w:color w:val="000000" w:themeColor="text1"/>
        </w:rPr>
        <w:t>his policy provides guidance</w:t>
      </w:r>
      <w:r w:rsidR="007C4F98">
        <w:rPr>
          <w:rFonts w:cs="Arial"/>
          <w:color w:val="000000" w:themeColor="text1"/>
        </w:rPr>
        <w:t xml:space="preserve"> to </w:t>
      </w:r>
      <w:r w:rsidR="002340DE">
        <w:rPr>
          <w:rFonts w:cs="Arial"/>
          <w:color w:val="000000" w:themeColor="text1"/>
        </w:rPr>
        <w:t xml:space="preserve">officers and managers </w:t>
      </w:r>
      <w:r w:rsidR="009B0717">
        <w:rPr>
          <w:rFonts w:cs="Arial"/>
          <w:color w:val="000000" w:themeColor="text1"/>
        </w:rPr>
        <w:t xml:space="preserve">to </w:t>
      </w:r>
      <w:r>
        <w:rPr>
          <w:rFonts w:cs="Arial"/>
          <w:color w:val="000000" w:themeColor="text1"/>
        </w:rPr>
        <w:t xml:space="preserve">help them understand and benefit from the support available within the Council </w:t>
      </w:r>
      <w:r w:rsidR="009B0717" w:rsidRPr="000433DA">
        <w:rPr>
          <w:rFonts w:cs="Arial"/>
          <w:color w:val="000000" w:themeColor="text1"/>
        </w:rPr>
        <w:t xml:space="preserve">regarding </w:t>
      </w:r>
      <w:r w:rsidR="001835A1">
        <w:rPr>
          <w:rFonts w:cs="Arial"/>
          <w:color w:val="000000" w:themeColor="text1"/>
        </w:rPr>
        <w:t xml:space="preserve">the </w:t>
      </w:r>
      <w:r w:rsidR="009B0717" w:rsidRPr="000433DA">
        <w:rPr>
          <w:rFonts w:cs="Arial"/>
          <w:color w:val="000000" w:themeColor="text1"/>
        </w:rPr>
        <w:t>eye-health risks faced</w:t>
      </w:r>
      <w:r w:rsidR="007C4F98" w:rsidRPr="000433DA">
        <w:rPr>
          <w:rFonts w:cs="Arial"/>
          <w:color w:val="000000" w:themeColor="text1"/>
        </w:rPr>
        <w:t>.</w:t>
      </w:r>
    </w:p>
    <w:p w14:paraId="2B6760E9" w14:textId="77777777" w:rsidR="002340DE" w:rsidRDefault="002340DE" w:rsidP="007C4F98">
      <w:pPr>
        <w:pStyle w:val="ListParagraph"/>
        <w:ind w:left="1440"/>
        <w:jc w:val="both"/>
        <w:rPr>
          <w:rFonts w:cs="Arial"/>
          <w:color w:val="000000" w:themeColor="text1"/>
        </w:rPr>
      </w:pPr>
    </w:p>
    <w:p w14:paraId="514C5B01" w14:textId="435675B3" w:rsidR="001F20F0" w:rsidRPr="000C040D" w:rsidRDefault="001F20F0" w:rsidP="00317416">
      <w:pPr>
        <w:pStyle w:val="ListParagraph"/>
        <w:numPr>
          <w:ilvl w:val="0"/>
          <w:numId w:val="1"/>
        </w:numPr>
        <w:rPr>
          <w:b/>
          <w:bCs/>
        </w:rPr>
      </w:pPr>
      <w:r w:rsidRPr="000C040D">
        <w:rPr>
          <w:b/>
          <w:bCs/>
        </w:rPr>
        <w:t>Aim and Scope</w:t>
      </w:r>
    </w:p>
    <w:p w14:paraId="58E42085" w14:textId="77777777" w:rsidR="001F20F0" w:rsidRDefault="001F20F0" w:rsidP="001F20F0">
      <w:pPr>
        <w:pStyle w:val="ListParagraph"/>
        <w:rPr>
          <w:b/>
          <w:bCs/>
        </w:rPr>
      </w:pPr>
    </w:p>
    <w:p w14:paraId="0997DADC" w14:textId="77777777" w:rsidR="0003714F" w:rsidRDefault="009165E8" w:rsidP="0003714F">
      <w:pPr>
        <w:pStyle w:val="ListParagraph"/>
        <w:numPr>
          <w:ilvl w:val="1"/>
          <w:numId w:val="1"/>
        </w:numPr>
        <w:ind w:left="1440"/>
        <w:jc w:val="both"/>
        <w:rPr>
          <w:rFonts w:cs="Arial"/>
        </w:rPr>
      </w:pPr>
      <w:r w:rsidRPr="009165E8">
        <w:rPr>
          <w:rFonts w:cs="Arial"/>
        </w:rPr>
        <w:t>The purpose of this policy is</w:t>
      </w:r>
      <w:r w:rsidR="0050000F">
        <w:rPr>
          <w:rFonts w:cs="Arial"/>
        </w:rPr>
        <w:t xml:space="preserve"> to outline the Council's arrangements for supporting the health and safety of its officers who use DSE as part of their work</w:t>
      </w:r>
      <w:r w:rsidRPr="0050000F">
        <w:rPr>
          <w:rFonts w:cs="Arial"/>
        </w:rPr>
        <w:t>.</w:t>
      </w:r>
    </w:p>
    <w:p w14:paraId="6FCDD64D" w14:textId="3D51E3AB" w:rsidR="00DB5A01" w:rsidRPr="0003714F" w:rsidRDefault="001066E8" w:rsidP="0003714F">
      <w:pPr>
        <w:pStyle w:val="ListParagraph"/>
        <w:numPr>
          <w:ilvl w:val="1"/>
          <w:numId w:val="1"/>
        </w:numPr>
        <w:ind w:left="1440"/>
        <w:jc w:val="both"/>
        <w:rPr>
          <w:rFonts w:cs="Arial"/>
        </w:rPr>
      </w:pPr>
      <w:r w:rsidRPr="0003714F">
        <w:rPr>
          <w:rFonts w:cs="Arial"/>
        </w:rPr>
        <w:t>T</w:t>
      </w:r>
      <w:r w:rsidR="00DB5A01" w:rsidRPr="0003714F">
        <w:rPr>
          <w:rFonts w:cs="Arial"/>
        </w:rPr>
        <w:t>h</w:t>
      </w:r>
      <w:r w:rsidR="00A07AD7" w:rsidRPr="0003714F">
        <w:rPr>
          <w:rFonts w:cs="Arial"/>
        </w:rPr>
        <w:t>e Policy</w:t>
      </w:r>
      <w:r w:rsidR="00DB5A01" w:rsidRPr="0003714F">
        <w:rPr>
          <w:rFonts w:cs="Arial"/>
        </w:rPr>
        <w:t xml:space="preserve"> defines the </w:t>
      </w:r>
      <w:r w:rsidR="00D30441" w:rsidRPr="0003714F">
        <w:rPr>
          <w:rFonts w:cs="Arial"/>
        </w:rPr>
        <w:t xml:space="preserve">Council’s </w:t>
      </w:r>
      <w:r w:rsidR="00DB5A01" w:rsidRPr="0003714F">
        <w:rPr>
          <w:rFonts w:cs="Arial"/>
        </w:rPr>
        <w:t xml:space="preserve">approach and responsibilities </w:t>
      </w:r>
      <w:r w:rsidR="00D30441" w:rsidRPr="0003714F">
        <w:rPr>
          <w:rFonts w:cs="Arial"/>
        </w:rPr>
        <w:t xml:space="preserve">regarding </w:t>
      </w:r>
      <w:r w:rsidR="00A07AD7" w:rsidRPr="0003714F">
        <w:rPr>
          <w:rFonts w:cs="Arial"/>
        </w:rPr>
        <w:t xml:space="preserve">DSE users and helps them </w:t>
      </w:r>
      <w:r w:rsidR="00DB5A01" w:rsidRPr="0003714F">
        <w:rPr>
          <w:rFonts w:cs="Arial"/>
        </w:rPr>
        <w:t>to</w:t>
      </w:r>
      <w:r w:rsidR="0003714F" w:rsidRPr="0003714F">
        <w:rPr>
          <w:rFonts w:cs="Arial"/>
        </w:rPr>
        <w:t xml:space="preserve"> U</w:t>
      </w:r>
      <w:r w:rsidR="00E81C0E" w:rsidRPr="0003714F">
        <w:rPr>
          <w:rFonts w:cs="Arial"/>
        </w:rPr>
        <w:t>nderstand the potential eye</w:t>
      </w:r>
      <w:r w:rsidR="001254DD" w:rsidRPr="0003714F">
        <w:rPr>
          <w:rFonts w:cs="Arial"/>
        </w:rPr>
        <w:t xml:space="preserve"> </w:t>
      </w:r>
      <w:r w:rsidR="00E81C0E" w:rsidRPr="0003714F">
        <w:rPr>
          <w:rFonts w:cs="Arial"/>
        </w:rPr>
        <w:t>health risks associated with DSE us</w:t>
      </w:r>
      <w:r w:rsidR="00A07AD7" w:rsidRPr="0003714F">
        <w:rPr>
          <w:rFonts w:cs="Arial"/>
        </w:rPr>
        <w:t>e</w:t>
      </w:r>
    </w:p>
    <w:p w14:paraId="38250119" w14:textId="77777777" w:rsidR="006F23B3" w:rsidRPr="006F23B3" w:rsidRDefault="006F23B3" w:rsidP="006F23B3">
      <w:pPr>
        <w:pStyle w:val="ListParagraph"/>
        <w:ind w:left="2160"/>
        <w:jc w:val="both"/>
        <w:rPr>
          <w:rFonts w:cs="Arial"/>
        </w:rPr>
      </w:pPr>
    </w:p>
    <w:p w14:paraId="2D3F9E8E" w14:textId="2E16C4AF" w:rsidR="005C58F1" w:rsidRPr="000C040D" w:rsidRDefault="00001834" w:rsidP="00317416">
      <w:pPr>
        <w:pStyle w:val="ListParagraph"/>
        <w:numPr>
          <w:ilvl w:val="0"/>
          <w:numId w:val="1"/>
        </w:numPr>
        <w:rPr>
          <w:rFonts w:cs="Arial"/>
          <w:b/>
          <w:bCs/>
        </w:rPr>
      </w:pPr>
      <w:r w:rsidRPr="000C040D">
        <w:rPr>
          <w:rFonts w:cs="Arial"/>
          <w:b/>
          <w:bCs/>
        </w:rPr>
        <w:t>Who This Applies To</w:t>
      </w:r>
    </w:p>
    <w:p w14:paraId="7B3992C7" w14:textId="77777777" w:rsidR="00001834" w:rsidRDefault="00001834" w:rsidP="00001834">
      <w:pPr>
        <w:pStyle w:val="ListParagraph"/>
        <w:rPr>
          <w:rFonts w:cs="Arial"/>
          <w:b/>
          <w:bCs/>
        </w:rPr>
      </w:pPr>
    </w:p>
    <w:p w14:paraId="02FA6FEC" w14:textId="01DEFD97" w:rsidR="00001834" w:rsidRDefault="00001834" w:rsidP="00317416">
      <w:pPr>
        <w:pStyle w:val="ListParagraph"/>
        <w:numPr>
          <w:ilvl w:val="1"/>
          <w:numId w:val="1"/>
        </w:numPr>
        <w:ind w:left="1440"/>
        <w:jc w:val="both"/>
        <w:rPr>
          <w:color w:val="000000" w:themeColor="text1"/>
        </w:rPr>
      </w:pPr>
      <w:r w:rsidRPr="00B82684">
        <w:rPr>
          <w:color w:val="000000" w:themeColor="text1"/>
        </w:rPr>
        <w:t>This policy shall apply to all officers of the Council, irrespective of their employment status i.e., whether they are engaged on a full-time, part-time, temporary or permanent basis.</w:t>
      </w:r>
    </w:p>
    <w:p w14:paraId="24700A89" w14:textId="670EF2E3" w:rsidR="001A3B57" w:rsidRDefault="00821A8E" w:rsidP="00317416">
      <w:pPr>
        <w:pStyle w:val="ListParagraph"/>
        <w:numPr>
          <w:ilvl w:val="1"/>
          <w:numId w:val="1"/>
        </w:numPr>
        <w:ind w:left="1440"/>
        <w:jc w:val="both"/>
        <w:rPr>
          <w:color w:val="000000" w:themeColor="text1"/>
        </w:rPr>
      </w:pPr>
      <w:r>
        <w:rPr>
          <w:color w:val="000000" w:themeColor="text1"/>
        </w:rPr>
        <w:t>This policy shall not apply to any third parties engaged in work on behalf of the Council, including but not limited to, agency personnel, consultants, and providers of services or supplies whose staff carry out duties for or in association with the Council.</w:t>
      </w:r>
    </w:p>
    <w:p w14:paraId="6A45E172" w14:textId="77777777" w:rsidR="002A0007" w:rsidRPr="002A0007" w:rsidRDefault="002A0007" w:rsidP="002A0007">
      <w:pPr>
        <w:pStyle w:val="ListParagraph"/>
        <w:ind w:left="1440"/>
        <w:jc w:val="both"/>
        <w:rPr>
          <w:color w:val="000000" w:themeColor="text1"/>
        </w:rPr>
      </w:pPr>
    </w:p>
    <w:p w14:paraId="783FAA8A" w14:textId="129B7CBA" w:rsidR="00246416" w:rsidRPr="000C040D" w:rsidRDefault="00D664B5" w:rsidP="00317416">
      <w:pPr>
        <w:pStyle w:val="ListParagraph"/>
        <w:numPr>
          <w:ilvl w:val="0"/>
          <w:numId w:val="1"/>
        </w:numPr>
        <w:jc w:val="both"/>
        <w:rPr>
          <w:b/>
          <w:bCs/>
        </w:rPr>
      </w:pPr>
      <w:r w:rsidRPr="000C040D">
        <w:rPr>
          <w:b/>
          <w:bCs/>
        </w:rPr>
        <w:t>Legal Framework</w:t>
      </w:r>
    </w:p>
    <w:p w14:paraId="6921A253" w14:textId="77777777" w:rsidR="00D664B5" w:rsidRDefault="00D664B5" w:rsidP="00D664B5">
      <w:pPr>
        <w:pStyle w:val="ListParagraph"/>
        <w:jc w:val="both"/>
        <w:rPr>
          <w:b/>
          <w:bCs/>
        </w:rPr>
      </w:pPr>
    </w:p>
    <w:p w14:paraId="09C4C806" w14:textId="3F74CB00" w:rsidR="004F5465" w:rsidRDefault="00F876F4" w:rsidP="00317416">
      <w:pPr>
        <w:pStyle w:val="ListParagraph"/>
        <w:numPr>
          <w:ilvl w:val="1"/>
          <w:numId w:val="1"/>
        </w:numPr>
        <w:ind w:left="1440"/>
        <w:jc w:val="both"/>
        <w:rPr>
          <w:color w:val="000000" w:themeColor="text1"/>
        </w:rPr>
      </w:pPr>
      <w:r>
        <w:rPr>
          <w:color w:val="000000" w:themeColor="text1"/>
        </w:rPr>
        <w:t xml:space="preserve">The Council has a legal duty under </w:t>
      </w:r>
      <w:hyperlink r:id="rId13" w:history="1">
        <w:r w:rsidR="004F5465" w:rsidRPr="004F5465">
          <w:rPr>
            <w:rStyle w:val="Hyperlink"/>
          </w:rPr>
          <w:t>The Health and Safety at Work Act 1974</w:t>
        </w:r>
      </w:hyperlink>
      <w:r>
        <w:rPr>
          <w:color w:val="000000" w:themeColor="text1"/>
        </w:rPr>
        <w:t xml:space="preserve"> </w:t>
      </w:r>
      <w:r w:rsidR="004F5465">
        <w:rPr>
          <w:color w:val="000000" w:themeColor="text1"/>
        </w:rPr>
        <w:t>to ensure</w:t>
      </w:r>
      <w:r>
        <w:rPr>
          <w:color w:val="000000" w:themeColor="text1"/>
        </w:rPr>
        <w:t xml:space="preserve">, as far as reasonably practicable, </w:t>
      </w:r>
      <w:r w:rsidR="00FD47BD">
        <w:rPr>
          <w:color w:val="000000" w:themeColor="text1"/>
        </w:rPr>
        <w:t xml:space="preserve">the </w:t>
      </w:r>
      <w:r>
        <w:rPr>
          <w:color w:val="000000" w:themeColor="text1"/>
        </w:rPr>
        <w:t>safety</w:t>
      </w:r>
      <w:r w:rsidR="003834D5">
        <w:rPr>
          <w:color w:val="000000" w:themeColor="text1"/>
        </w:rPr>
        <w:t xml:space="preserve"> of its staff</w:t>
      </w:r>
      <w:r>
        <w:rPr>
          <w:color w:val="000000" w:themeColor="text1"/>
        </w:rPr>
        <w:t xml:space="preserve"> </w:t>
      </w:r>
      <w:r w:rsidR="00AA47BC">
        <w:rPr>
          <w:color w:val="000000" w:themeColor="text1"/>
        </w:rPr>
        <w:t>in the workplace</w:t>
      </w:r>
      <w:r>
        <w:rPr>
          <w:color w:val="000000" w:themeColor="text1"/>
        </w:rPr>
        <w:t>.</w:t>
      </w:r>
    </w:p>
    <w:p w14:paraId="6710C066" w14:textId="7E9C8B59" w:rsidR="00072AF9" w:rsidRDefault="00AA47BC" w:rsidP="00317416">
      <w:pPr>
        <w:pStyle w:val="ListParagraph"/>
        <w:numPr>
          <w:ilvl w:val="1"/>
          <w:numId w:val="1"/>
        </w:numPr>
        <w:ind w:left="1440"/>
        <w:jc w:val="both"/>
        <w:rPr>
          <w:color w:val="000000" w:themeColor="text1"/>
        </w:rPr>
      </w:pPr>
      <w:r>
        <w:rPr>
          <w:color w:val="000000" w:themeColor="text1"/>
        </w:rPr>
        <w:t xml:space="preserve">By </w:t>
      </w:r>
      <w:r w:rsidRPr="00AA47BC">
        <w:rPr>
          <w:color w:val="000000" w:themeColor="text1"/>
        </w:rPr>
        <w:t>adopting and applying this policy</w:t>
      </w:r>
      <w:r w:rsidR="00072AF9">
        <w:rPr>
          <w:color w:val="000000" w:themeColor="text1"/>
        </w:rPr>
        <w:t xml:space="preserve">, the Council </w:t>
      </w:r>
      <w:r w:rsidR="00376711">
        <w:rPr>
          <w:color w:val="000000" w:themeColor="text1"/>
        </w:rPr>
        <w:t xml:space="preserve">also </w:t>
      </w:r>
      <w:r w:rsidR="0032461A">
        <w:rPr>
          <w:color w:val="000000" w:themeColor="text1"/>
        </w:rPr>
        <w:t xml:space="preserve">complies with </w:t>
      </w:r>
      <w:r w:rsidR="00072AF9">
        <w:rPr>
          <w:color w:val="000000" w:themeColor="text1"/>
        </w:rPr>
        <w:t xml:space="preserve">the </w:t>
      </w:r>
      <w:hyperlink r:id="rId14" w:history="1">
        <w:r w:rsidR="00072AF9" w:rsidRPr="00072AF9">
          <w:rPr>
            <w:rStyle w:val="Hyperlink"/>
          </w:rPr>
          <w:t>Health and Safety (Display Screen Equipment) Regulations 1992</w:t>
        </w:r>
      </w:hyperlink>
      <w:r w:rsidR="00072AF9">
        <w:rPr>
          <w:color w:val="000000" w:themeColor="text1"/>
        </w:rPr>
        <w:t xml:space="preserve">, </w:t>
      </w:r>
      <w:r w:rsidR="00376711">
        <w:rPr>
          <w:color w:val="000000" w:themeColor="text1"/>
        </w:rPr>
        <w:t xml:space="preserve">and </w:t>
      </w:r>
      <w:r w:rsidR="00376711">
        <w:rPr>
          <w:color w:val="000000" w:themeColor="text1"/>
        </w:rPr>
        <w:lastRenderedPageBreak/>
        <w:t xml:space="preserve">extends its duty </w:t>
      </w:r>
      <w:r w:rsidR="0032461A">
        <w:rPr>
          <w:color w:val="000000" w:themeColor="text1"/>
        </w:rPr>
        <w:t>to ensure</w:t>
      </w:r>
      <w:r w:rsidR="00376711">
        <w:rPr>
          <w:color w:val="000000" w:themeColor="text1"/>
        </w:rPr>
        <w:t xml:space="preserve"> that DSE users and their workstation</w:t>
      </w:r>
      <w:r w:rsidR="0032461A">
        <w:rPr>
          <w:color w:val="000000" w:themeColor="text1"/>
        </w:rPr>
        <w:t>s</w:t>
      </w:r>
      <w:r w:rsidR="00376711">
        <w:rPr>
          <w:color w:val="000000" w:themeColor="text1"/>
        </w:rPr>
        <w:t xml:space="preserve"> </w:t>
      </w:r>
      <w:r w:rsidR="0032461A">
        <w:rPr>
          <w:color w:val="000000" w:themeColor="text1"/>
        </w:rPr>
        <w:t xml:space="preserve">are </w:t>
      </w:r>
      <w:r w:rsidR="00376711">
        <w:rPr>
          <w:color w:val="000000" w:themeColor="text1"/>
        </w:rPr>
        <w:t>safe to use</w:t>
      </w:r>
      <w:r w:rsidR="00FD47BD">
        <w:rPr>
          <w:color w:val="000000" w:themeColor="text1"/>
        </w:rPr>
        <w:t xml:space="preserve">, thereby </w:t>
      </w:r>
      <w:r w:rsidR="0032461A">
        <w:rPr>
          <w:color w:val="000000" w:themeColor="text1"/>
        </w:rPr>
        <w:t>reducing</w:t>
      </w:r>
      <w:r w:rsidR="00FD47BD">
        <w:rPr>
          <w:color w:val="000000" w:themeColor="text1"/>
        </w:rPr>
        <w:t xml:space="preserve"> </w:t>
      </w:r>
      <w:r w:rsidR="00AC5352">
        <w:rPr>
          <w:color w:val="000000" w:themeColor="text1"/>
        </w:rPr>
        <w:t>eye-</w:t>
      </w:r>
      <w:r w:rsidR="00376711">
        <w:rPr>
          <w:color w:val="000000" w:themeColor="text1"/>
        </w:rPr>
        <w:t>health risks.</w:t>
      </w:r>
    </w:p>
    <w:p w14:paraId="6220E4C7" w14:textId="569AD90E" w:rsidR="00A40DF2" w:rsidRPr="005F3DE5" w:rsidRDefault="007E2B45" w:rsidP="00317416">
      <w:pPr>
        <w:pStyle w:val="ListParagraph"/>
        <w:numPr>
          <w:ilvl w:val="1"/>
          <w:numId w:val="1"/>
        </w:numPr>
        <w:ind w:left="1440"/>
        <w:jc w:val="both"/>
        <w:rPr>
          <w:color w:val="000000" w:themeColor="text1"/>
        </w:rPr>
      </w:pPr>
      <w:r>
        <w:rPr>
          <w:color w:val="000000" w:themeColor="text1"/>
        </w:rPr>
        <w:t>Besides</w:t>
      </w:r>
      <w:r w:rsidR="00801CA1" w:rsidRPr="00801CA1">
        <w:rPr>
          <w:color w:val="000000" w:themeColor="text1"/>
        </w:rPr>
        <w:t xml:space="preserve"> prioritising the health of its officers, the Council is </w:t>
      </w:r>
      <w:r w:rsidR="00630AF9">
        <w:rPr>
          <w:color w:val="000000" w:themeColor="text1"/>
        </w:rPr>
        <w:t>dedicated</w:t>
      </w:r>
      <w:r w:rsidR="00801CA1" w:rsidRPr="00801CA1">
        <w:rPr>
          <w:color w:val="000000" w:themeColor="text1"/>
        </w:rPr>
        <w:t xml:space="preserve"> to </w:t>
      </w:r>
      <w:r w:rsidR="00B719E5">
        <w:rPr>
          <w:color w:val="000000" w:themeColor="text1"/>
        </w:rPr>
        <w:t xml:space="preserve">providing equal access to this policy for all and preventing any form of less favourable treatment. </w:t>
      </w:r>
      <w:r w:rsidR="00801CA1" w:rsidRPr="00B719E5">
        <w:rPr>
          <w:color w:val="000000" w:themeColor="text1"/>
        </w:rPr>
        <w:t xml:space="preserve">In line with the </w:t>
      </w:r>
      <w:hyperlink r:id="rId15" w:history="1">
        <w:r w:rsidR="00801CA1" w:rsidRPr="00801CA1">
          <w:rPr>
            <w:rStyle w:val="Hyperlink"/>
          </w:rPr>
          <w:t>Equality Act 2010</w:t>
        </w:r>
      </w:hyperlink>
      <w:r w:rsidR="00801CA1" w:rsidRPr="00B719E5">
        <w:rPr>
          <w:color w:val="000000" w:themeColor="text1"/>
        </w:rPr>
        <w:t xml:space="preserve">, the Council ensures that all DSE users are treated fairly and equally, </w:t>
      </w:r>
      <w:r w:rsidR="005F3DE5">
        <w:rPr>
          <w:color w:val="000000" w:themeColor="text1"/>
        </w:rPr>
        <w:t xml:space="preserve">without discrimination or disadvantage on the </w:t>
      </w:r>
      <w:r w:rsidR="00801CA1" w:rsidRPr="005F3DE5">
        <w:rPr>
          <w:color w:val="000000" w:themeColor="text1"/>
        </w:rPr>
        <w:t>grounds of age, disability, gender reassignment, marriage and civil partnership, pregnancy and maternity, race, religion or belief, sex, or sexual orientation.</w:t>
      </w:r>
    </w:p>
    <w:p w14:paraId="49442504" w14:textId="77777777" w:rsidR="000648BD" w:rsidRDefault="000648BD" w:rsidP="000648BD">
      <w:pPr>
        <w:pStyle w:val="ListParagraph"/>
        <w:ind w:left="1440"/>
        <w:jc w:val="both"/>
      </w:pPr>
    </w:p>
    <w:p w14:paraId="164DDE5C" w14:textId="52639CD4" w:rsidR="000648BD" w:rsidRPr="000C040D" w:rsidRDefault="000648BD" w:rsidP="00317416">
      <w:pPr>
        <w:pStyle w:val="ListParagraph"/>
        <w:numPr>
          <w:ilvl w:val="0"/>
          <w:numId w:val="1"/>
        </w:numPr>
        <w:jc w:val="both"/>
        <w:rPr>
          <w:b/>
          <w:bCs/>
        </w:rPr>
      </w:pPr>
      <w:r w:rsidRPr="000C040D">
        <w:rPr>
          <w:b/>
          <w:bCs/>
        </w:rPr>
        <w:t xml:space="preserve">Defining </w:t>
      </w:r>
      <w:r w:rsidR="00144EB8" w:rsidRPr="000C040D">
        <w:rPr>
          <w:b/>
          <w:bCs/>
        </w:rPr>
        <w:t>Display Screen Equipment</w:t>
      </w:r>
      <w:r w:rsidR="00EE5E2F" w:rsidRPr="000C040D">
        <w:rPr>
          <w:b/>
          <w:bCs/>
        </w:rPr>
        <w:t xml:space="preserve"> (DSE)</w:t>
      </w:r>
    </w:p>
    <w:p w14:paraId="5EDEE2EB" w14:textId="77777777" w:rsidR="000648BD" w:rsidRDefault="000648BD" w:rsidP="000648BD">
      <w:pPr>
        <w:pStyle w:val="ListParagraph"/>
        <w:jc w:val="both"/>
        <w:rPr>
          <w:b/>
          <w:bCs/>
        </w:rPr>
      </w:pPr>
    </w:p>
    <w:p w14:paraId="45D94911" w14:textId="08034740" w:rsidR="000648BD" w:rsidRDefault="00DA6613" w:rsidP="00317416">
      <w:pPr>
        <w:pStyle w:val="ListParagraph"/>
        <w:numPr>
          <w:ilvl w:val="1"/>
          <w:numId w:val="1"/>
        </w:numPr>
        <w:ind w:left="1440"/>
        <w:jc w:val="both"/>
      </w:pPr>
      <w:r w:rsidRPr="00D04883">
        <w:t xml:space="preserve">DSE </w:t>
      </w:r>
      <w:r w:rsidR="00EE4C59" w:rsidRPr="00D04883">
        <w:t>r</w:t>
      </w:r>
      <w:r w:rsidR="00EE4C59">
        <w:t>efers to any</w:t>
      </w:r>
      <w:r w:rsidR="00224808">
        <w:t xml:space="preserve"> device or equipment </w:t>
      </w:r>
      <w:r w:rsidR="00EE4C59">
        <w:t xml:space="preserve">with a </w:t>
      </w:r>
      <w:r w:rsidR="00224808">
        <w:t xml:space="preserve">display screen </w:t>
      </w:r>
      <w:r w:rsidR="005D6502" w:rsidRPr="005D6502">
        <w:t xml:space="preserve">regardless of the </w:t>
      </w:r>
      <w:r w:rsidR="00321C21">
        <w:t>technology used</w:t>
      </w:r>
      <w:r w:rsidR="005D6502" w:rsidRPr="005D6502">
        <w:t>.</w:t>
      </w:r>
      <w:r w:rsidR="00321C21">
        <w:t xml:space="preserve"> This</w:t>
      </w:r>
      <w:r w:rsidR="005D6502">
        <w:t xml:space="preserve"> includes laptops, </w:t>
      </w:r>
      <w:r w:rsidR="00321C21">
        <w:t>desktop computers</w:t>
      </w:r>
      <w:r w:rsidR="005D6502">
        <w:t xml:space="preserve">, smartphones, </w:t>
      </w:r>
      <w:r w:rsidR="00321C21">
        <w:t xml:space="preserve">and similar devices, as well as </w:t>
      </w:r>
      <w:r w:rsidR="005D6502">
        <w:t xml:space="preserve">any screens used </w:t>
      </w:r>
      <w:r w:rsidR="00321C21">
        <w:t>during</w:t>
      </w:r>
      <w:r w:rsidR="005D6502">
        <w:t xml:space="preserve"> working.</w:t>
      </w:r>
    </w:p>
    <w:p w14:paraId="2DB8D353" w14:textId="2A66B39F" w:rsidR="00351486" w:rsidRDefault="007F53AC" w:rsidP="00317416">
      <w:pPr>
        <w:pStyle w:val="ListParagraph"/>
        <w:numPr>
          <w:ilvl w:val="1"/>
          <w:numId w:val="1"/>
        </w:numPr>
        <w:ind w:left="1440"/>
        <w:jc w:val="both"/>
      </w:pPr>
      <w:r w:rsidRPr="0003714F">
        <w:t>DSE Users</w:t>
      </w:r>
      <w:r w:rsidRPr="000D0ECA">
        <w:t xml:space="preserve"> (</w:t>
      </w:r>
      <w:r w:rsidR="002C6494" w:rsidRPr="000D0ECA">
        <w:t xml:space="preserve">or </w:t>
      </w:r>
      <w:r w:rsidRPr="0003714F">
        <w:t>users</w:t>
      </w:r>
      <w:r w:rsidRPr="000D0ECA">
        <w:t>)</w:t>
      </w:r>
      <w:r w:rsidR="00224808">
        <w:t xml:space="preserve"> are</w:t>
      </w:r>
      <w:r w:rsidR="00C4110C">
        <w:t xml:space="preserve"> </w:t>
      </w:r>
      <w:r w:rsidR="00224808">
        <w:t>individuals who regularly use DSE for a significant part of their work</w:t>
      </w:r>
      <w:r>
        <w:t>.</w:t>
      </w:r>
      <w:r w:rsidR="00253CBB">
        <w:t xml:space="preserve">  </w:t>
      </w:r>
      <w:r w:rsidR="00EC652E">
        <w:t>F</w:t>
      </w:r>
      <w:r w:rsidR="00C4110C">
        <w:t>or the purpose of this policy,</w:t>
      </w:r>
      <w:r w:rsidR="00AF4458">
        <w:t xml:space="preserve"> the Council officers</w:t>
      </w:r>
      <w:r w:rsidR="00AF4458" w:rsidDel="000D0ECA">
        <w:t xml:space="preserve"> </w:t>
      </w:r>
      <w:r w:rsidR="000F25A7">
        <w:t>are</w:t>
      </w:r>
      <w:r w:rsidR="00C4110C">
        <w:t xml:space="preserve"> considered </w:t>
      </w:r>
      <w:r w:rsidR="00AF4458">
        <w:t>users,</w:t>
      </w:r>
      <w:r w:rsidR="00C4110C">
        <w:t xml:space="preserve"> if they</w:t>
      </w:r>
      <w:r w:rsidR="000F25A7">
        <w:t xml:space="preserve"> meet any of the following criteria</w:t>
      </w:r>
      <w:r w:rsidR="008757FF">
        <w:t>:</w:t>
      </w:r>
    </w:p>
    <w:p w14:paraId="33CEF2CF" w14:textId="372E1EC9" w:rsidR="008757FF" w:rsidRDefault="000F25A7" w:rsidP="00317416">
      <w:pPr>
        <w:pStyle w:val="ListParagraph"/>
        <w:numPr>
          <w:ilvl w:val="0"/>
          <w:numId w:val="4"/>
        </w:numPr>
        <w:jc w:val="both"/>
      </w:pPr>
      <w:r>
        <w:t>Rely</w:t>
      </w:r>
      <w:r w:rsidR="008757FF">
        <w:t xml:space="preserve"> on DSE </w:t>
      </w:r>
      <w:r>
        <w:t xml:space="preserve">for their work </w:t>
      </w:r>
      <w:r w:rsidR="008757FF">
        <w:t xml:space="preserve">in </w:t>
      </w:r>
      <w:r w:rsidR="000D0ECA">
        <w:t xml:space="preserve">either </w:t>
      </w:r>
      <w:r w:rsidR="008757FF">
        <w:t xml:space="preserve">office </w:t>
      </w:r>
      <w:r w:rsidR="000D0ECA">
        <w:t xml:space="preserve">or </w:t>
      </w:r>
      <w:r w:rsidR="008757FF">
        <w:t xml:space="preserve">remote settings, </w:t>
      </w:r>
      <w:r>
        <w:t>with no suitable alternatives available</w:t>
      </w:r>
    </w:p>
    <w:p w14:paraId="32E659C4" w14:textId="2562BA7A" w:rsidR="008757FF" w:rsidRDefault="000F25A7" w:rsidP="00317416">
      <w:pPr>
        <w:pStyle w:val="ListParagraph"/>
        <w:numPr>
          <w:ilvl w:val="0"/>
          <w:numId w:val="4"/>
        </w:numPr>
        <w:jc w:val="both"/>
      </w:pPr>
      <w:r>
        <w:t>Have received training in the specific skills required to use DSE</w:t>
      </w:r>
    </w:p>
    <w:p w14:paraId="7282A3B1" w14:textId="2D7D7FC4" w:rsidR="008757FF" w:rsidRDefault="007D2F23" w:rsidP="00317416">
      <w:pPr>
        <w:pStyle w:val="ListParagraph"/>
        <w:numPr>
          <w:ilvl w:val="0"/>
          <w:numId w:val="4"/>
        </w:numPr>
      </w:pPr>
      <w:r>
        <w:t>Perform</w:t>
      </w:r>
      <w:r w:rsidR="00E743C5">
        <w:t xml:space="preserve"> </w:t>
      </w:r>
      <w:r>
        <w:t xml:space="preserve">a role </w:t>
      </w:r>
      <w:r w:rsidR="000F25A7">
        <w:t xml:space="preserve">that </w:t>
      </w:r>
      <w:r>
        <w:t xml:space="preserve">involves using DSE </w:t>
      </w:r>
      <w:r w:rsidR="000F25A7" w:rsidRPr="000F25A7">
        <w:t>continuously for one hour or more at a time</w:t>
      </w:r>
    </w:p>
    <w:p w14:paraId="19B57745" w14:textId="7977CE35" w:rsidR="00E743C5" w:rsidRDefault="007D2F23" w:rsidP="00317416">
      <w:pPr>
        <w:pStyle w:val="ListParagraph"/>
        <w:numPr>
          <w:ilvl w:val="0"/>
          <w:numId w:val="4"/>
        </w:numPr>
        <w:jc w:val="both"/>
      </w:pPr>
      <w:r>
        <w:t>Perform</w:t>
      </w:r>
      <w:r w:rsidR="000F25A7">
        <w:t xml:space="preserve"> a role that requires a high level of </w:t>
      </w:r>
      <w:r w:rsidR="000F25A7" w:rsidRPr="000F25A7">
        <w:t>concentration and focus</w:t>
      </w:r>
    </w:p>
    <w:p w14:paraId="1AC3DC38" w14:textId="46819170" w:rsidR="000648BD" w:rsidRPr="00DB5295" w:rsidRDefault="00E743C5" w:rsidP="00317416">
      <w:pPr>
        <w:pStyle w:val="ListParagraph"/>
        <w:numPr>
          <w:ilvl w:val="1"/>
          <w:numId w:val="1"/>
        </w:numPr>
        <w:ind w:left="1440"/>
        <w:jc w:val="both"/>
      </w:pPr>
      <w:r w:rsidRPr="00DB5295">
        <w:t>A w</w:t>
      </w:r>
      <w:r w:rsidR="00896AD5" w:rsidRPr="00DB5295">
        <w:t xml:space="preserve">orkstation </w:t>
      </w:r>
      <w:r w:rsidR="006C456E" w:rsidRPr="00DB5295">
        <w:t xml:space="preserve">refers to a working environment </w:t>
      </w:r>
      <w:r w:rsidR="00E003CF" w:rsidRPr="00DB5295">
        <w:t>equipped</w:t>
      </w:r>
      <w:r w:rsidRPr="00DB5295">
        <w:t xml:space="preserve"> </w:t>
      </w:r>
      <w:r w:rsidR="006C456E" w:rsidRPr="00DB5295">
        <w:t xml:space="preserve">with computer-related </w:t>
      </w:r>
      <w:r w:rsidR="00E003CF" w:rsidRPr="00DB5295">
        <w:t>devices and accessories (e.g., touchpad, headphones, keyboard and dual monitors etc.)</w:t>
      </w:r>
      <w:r w:rsidRPr="00DB5295">
        <w:t>,</w:t>
      </w:r>
      <w:r w:rsidR="006C456E" w:rsidRPr="00DB5295">
        <w:t xml:space="preserve"> </w:t>
      </w:r>
      <w:r w:rsidR="00896AD5" w:rsidRPr="00DB5295">
        <w:t>including</w:t>
      </w:r>
      <w:r w:rsidR="00E003CF" w:rsidRPr="00DB5295">
        <w:t>,</w:t>
      </w:r>
      <w:r w:rsidR="00896AD5" w:rsidRPr="00DB5295">
        <w:t xml:space="preserve"> but not limited to:</w:t>
      </w:r>
    </w:p>
    <w:p w14:paraId="5782369B" w14:textId="73B56302" w:rsidR="00896AD5" w:rsidRDefault="00E743C5" w:rsidP="00317416">
      <w:pPr>
        <w:pStyle w:val="ListParagraph"/>
        <w:numPr>
          <w:ilvl w:val="0"/>
          <w:numId w:val="4"/>
        </w:numPr>
        <w:jc w:val="both"/>
      </w:pPr>
      <w:r>
        <w:t>A DSE</w:t>
      </w:r>
      <w:r w:rsidR="00896AD5">
        <w:t xml:space="preserve"> </w:t>
      </w:r>
      <w:r>
        <w:t>including</w:t>
      </w:r>
      <w:r w:rsidR="00E003CF">
        <w:t xml:space="preserve"> </w:t>
      </w:r>
      <w:r w:rsidR="00896AD5">
        <w:t xml:space="preserve">software that </w:t>
      </w:r>
      <w:r w:rsidR="00E003CF">
        <w:t>enables</w:t>
      </w:r>
      <w:r w:rsidR="00896AD5">
        <w:t xml:space="preserve"> </w:t>
      </w:r>
      <w:r w:rsidR="00E003CF">
        <w:t>interaction between the equipment and the user</w:t>
      </w:r>
    </w:p>
    <w:p w14:paraId="7B4ECBD6" w14:textId="10A4298F" w:rsidR="003552D5" w:rsidRDefault="00896AD5" w:rsidP="00317416">
      <w:pPr>
        <w:pStyle w:val="ListParagraph"/>
        <w:numPr>
          <w:ilvl w:val="0"/>
          <w:numId w:val="4"/>
        </w:numPr>
        <w:jc w:val="both"/>
      </w:pPr>
      <w:r>
        <w:t>A keyboard or</w:t>
      </w:r>
      <w:r w:rsidR="003552D5">
        <w:t xml:space="preserve"> </w:t>
      </w:r>
      <w:r>
        <w:t xml:space="preserve">other </w:t>
      </w:r>
      <w:r w:rsidR="003552D5">
        <w:t>input devices such as mouse, webcams, microphones or speakers</w:t>
      </w:r>
    </w:p>
    <w:p w14:paraId="5375E98F" w14:textId="04DB00BC" w:rsidR="006C456E" w:rsidRDefault="003552D5" w:rsidP="00317416">
      <w:pPr>
        <w:pStyle w:val="ListParagraph"/>
        <w:numPr>
          <w:ilvl w:val="0"/>
          <w:numId w:val="4"/>
        </w:numPr>
        <w:jc w:val="both"/>
      </w:pPr>
      <w:r>
        <w:t>Optional</w:t>
      </w:r>
      <w:r w:rsidR="00896AD5">
        <w:t xml:space="preserve"> or adjustable accessories </w:t>
      </w:r>
      <w:r>
        <w:t>including</w:t>
      </w:r>
      <w:r w:rsidR="00896AD5">
        <w:t xml:space="preserve"> wrist supports, anti-glare </w:t>
      </w:r>
      <w:r w:rsidR="00D17A09">
        <w:t xml:space="preserve">or blue light </w:t>
      </w:r>
      <w:r w:rsidR="00896AD5">
        <w:t>screen filters, laptop stands</w:t>
      </w:r>
      <w:r w:rsidR="00D17A09">
        <w:t xml:space="preserve">, larger monitors and </w:t>
      </w:r>
      <w:r w:rsidR="00896AD5" w:rsidRPr="00896AD5">
        <w:t>adjustable monitor brightness and contrast controls</w:t>
      </w:r>
    </w:p>
    <w:p w14:paraId="4FAAF6FD" w14:textId="77777777" w:rsidR="00295662" w:rsidRDefault="00295662" w:rsidP="00295662">
      <w:pPr>
        <w:pStyle w:val="ListParagraph"/>
        <w:ind w:left="1800"/>
        <w:jc w:val="both"/>
      </w:pPr>
    </w:p>
    <w:p w14:paraId="35E817E4" w14:textId="7EF447BA" w:rsidR="006A3612" w:rsidRPr="000C040D" w:rsidRDefault="006A3612" w:rsidP="00317416">
      <w:pPr>
        <w:pStyle w:val="ListParagraph"/>
        <w:numPr>
          <w:ilvl w:val="0"/>
          <w:numId w:val="1"/>
        </w:numPr>
        <w:jc w:val="both"/>
        <w:rPr>
          <w:b/>
          <w:bCs/>
        </w:rPr>
      </w:pPr>
      <w:r w:rsidRPr="000C040D">
        <w:rPr>
          <w:b/>
          <w:bCs/>
        </w:rPr>
        <w:t>Roles and Responsibilities</w:t>
      </w:r>
    </w:p>
    <w:p w14:paraId="36CA4B98" w14:textId="77777777" w:rsidR="009E65C4" w:rsidRDefault="009E65C4" w:rsidP="009E65C4">
      <w:pPr>
        <w:pStyle w:val="ListParagraph"/>
        <w:jc w:val="both"/>
        <w:rPr>
          <w:b/>
          <w:bCs/>
        </w:rPr>
      </w:pPr>
    </w:p>
    <w:p w14:paraId="57BCB790" w14:textId="00C3D8D0" w:rsidR="006A3612" w:rsidRDefault="006A3612" w:rsidP="00317416">
      <w:pPr>
        <w:pStyle w:val="ListParagraph"/>
        <w:numPr>
          <w:ilvl w:val="1"/>
          <w:numId w:val="1"/>
        </w:numPr>
        <w:ind w:left="1440"/>
        <w:jc w:val="both"/>
      </w:pPr>
      <w:r>
        <w:t xml:space="preserve">The Council </w:t>
      </w:r>
      <w:r w:rsidR="00507C5B">
        <w:t xml:space="preserve">recognises that fulfilling the purpose of this policy (see Section 2) </w:t>
      </w:r>
      <w:r>
        <w:t>requires</w:t>
      </w:r>
      <w:r w:rsidR="009A0EDF">
        <w:t xml:space="preserve"> collaboration and mutual </w:t>
      </w:r>
      <w:r>
        <w:t xml:space="preserve">understanding between managers </w:t>
      </w:r>
      <w:r>
        <w:lastRenderedPageBreak/>
        <w:t xml:space="preserve">and </w:t>
      </w:r>
      <w:r w:rsidR="000E2721">
        <w:t>staff members</w:t>
      </w:r>
      <w:r>
        <w:t>. Accordingly, the roles and responsibilities are defined to reflect the Council's commitment to</w:t>
      </w:r>
      <w:r w:rsidR="009A0EDF">
        <w:t xml:space="preserve"> the policy </w:t>
      </w:r>
      <w:r>
        <w:t>and</w:t>
      </w:r>
      <w:r w:rsidR="009A0EDF">
        <w:t xml:space="preserve"> its guiding principles, as follows</w:t>
      </w:r>
      <w:r>
        <w:t>:</w:t>
      </w:r>
    </w:p>
    <w:p w14:paraId="60D9A127" w14:textId="77777777" w:rsidR="00E743C5" w:rsidRDefault="00E743C5" w:rsidP="00E743C5">
      <w:pPr>
        <w:pStyle w:val="ListParagraph"/>
        <w:ind w:left="1440"/>
        <w:jc w:val="both"/>
      </w:pPr>
    </w:p>
    <w:p w14:paraId="4A78D7C0" w14:textId="08F6A1C5" w:rsidR="00D358F9" w:rsidRDefault="006A3612" w:rsidP="00317416">
      <w:pPr>
        <w:pStyle w:val="ListParagraph"/>
        <w:numPr>
          <w:ilvl w:val="0"/>
          <w:numId w:val="2"/>
        </w:numPr>
        <w:ind w:hanging="459"/>
        <w:jc w:val="both"/>
      </w:pPr>
      <w:r w:rsidRPr="006A3612">
        <w:rPr>
          <w:b/>
          <w:bCs/>
        </w:rPr>
        <w:t>Line managers</w:t>
      </w:r>
      <w:r>
        <w:t xml:space="preserve"> are responsible for ensuring that they: </w:t>
      </w:r>
    </w:p>
    <w:p w14:paraId="36E767BA" w14:textId="7E5C548C" w:rsidR="00CE4D32" w:rsidRDefault="00CE4D32" w:rsidP="00317416">
      <w:pPr>
        <w:pStyle w:val="ListParagraph"/>
        <w:numPr>
          <w:ilvl w:val="0"/>
          <w:numId w:val="3"/>
        </w:numPr>
        <w:ind w:left="2552" w:hanging="414"/>
        <w:jc w:val="both"/>
      </w:pPr>
      <w:r>
        <w:t>Communicate this policy clearly and effectively, making every effort to ensure it is understood by</w:t>
      </w:r>
      <w:r w:rsidR="00431EB7">
        <w:t>,</w:t>
      </w:r>
      <w:r>
        <w:t xml:space="preserve"> and accessible to all users.</w:t>
      </w:r>
    </w:p>
    <w:p w14:paraId="7E2B20D0" w14:textId="33101A26" w:rsidR="00CE4D32" w:rsidRDefault="00CE4D32" w:rsidP="00317416">
      <w:pPr>
        <w:pStyle w:val="ListParagraph"/>
        <w:numPr>
          <w:ilvl w:val="0"/>
          <w:numId w:val="3"/>
        </w:numPr>
        <w:ind w:left="2552" w:hanging="414"/>
        <w:jc w:val="both"/>
      </w:pPr>
      <w:r>
        <w:t>Promote and support safety and wellbeing in relation to eye health, addressing concerns wherever possible and maintaining appropriate contact with users during extended periods of DSE use.</w:t>
      </w:r>
    </w:p>
    <w:p w14:paraId="0F18DA1F" w14:textId="343E1DAF" w:rsidR="00CE4D32" w:rsidRDefault="00CE4D32" w:rsidP="00317416">
      <w:pPr>
        <w:pStyle w:val="ListParagraph"/>
        <w:numPr>
          <w:ilvl w:val="0"/>
          <w:numId w:val="3"/>
        </w:numPr>
        <w:ind w:left="2552" w:hanging="414"/>
        <w:jc w:val="both"/>
      </w:pPr>
      <w:r>
        <w:t>Provide clear guidance and visible support on health matters, including risks identified in relation to DSE use.</w:t>
      </w:r>
    </w:p>
    <w:p w14:paraId="444F0E38" w14:textId="0D917703" w:rsidR="00CE4D32" w:rsidRDefault="00CE4D32" w:rsidP="00317416">
      <w:pPr>
        <w:pStyle w:val="ListParagraph"/>
        <w:numPr>
          <w:ilvl w:val="0"/>
          <w:numId w:val="3"/>
        </w:numPr>
        <w:ind w:left="2552" w:hanging="414"/>
        <w:jc w:val="both"/>
      </w:pPr>
      <w:r>
        <w:t>Identify, control and monitor potential risks arising from DSE use.</w:t>
      </w:r>
    </w:p>
    <w:p w14:paraId="3EDA4D83" w14:textId="24CD64AB" w:rsidR="00D358F9" w:rsidRDefault="00D358F9" w:rsidP="00317416">
      <w:pPr>
        <w:pStyle w:val="ListParagraph"/>
        <w:numPr>
          <w:ilvl w:val="0"/>
          <w:numId w:val="3"/>
        </w:numPr>
        <w:ind w:left="2552" w:hanging="414"/>
        <w:jc w:val="both"/>
      </w:pPr>
      <w:r>
        <w:t xml:space="preserve">Ensure that all </w:t>
      </w:r>
      <w:r w:rsidR="00CE4D32">
        <w:t>identified risks and any required adjustments for DSE users are properly assessed and managed in collaboration with the HR &amp; OD Manager.</w:t>
      </w:r>
    </w:p>
    <w:p w14:paraId="3C2A49B2" w14:textId="78A8B451" w:rsidR="006A3612" w:rsidRDefault="004D5C2D" w:rsidP="00317416">
      <w:pPr>
        <w:pStyle w:val="ListParagraph"/>
        <w:numPr>
          <w:ilvl w:val="0"/>
          <w:numId w:val="3"/>
        </w:numPr>
        <w:ind w:left="2552" w:hanging="414"/>
        <w:jc w:val="both"/>
      </w:pPr>
      <w:r>
        <w:t>Provide additional</w:t>
      </w:r>
      <w:r w:rsidR="00CE4D32">
        <w:t xml:space="preserve"> training sessions or provide relevant information when requested, to support safe and effective DSE use.</w:t>
      </w:r>
    </w:p>
    <w:p w14:paraId="250AAB24" w14:textId="13B27113" w:rsidR="00FD121B" w:rsidRPr="000960EC" w:rsidRDefault="000E2721" w:rsidP="00317416">
      <w:pPr>
        <w:pStyle w:val="ListParagraph"/>
        <w:numPr>
          <w:ilvl w:val="0"/>
          <w:numId w:val="2"/>
        </w:numPr>
        <w:ind w:hanging="459"/>
        <w:jc w:val="both"/>
      </w:pPr>
      <w:r>
        <w:rPr>
          <w:b/>
          <w:bCs/>
        </w:rPr>
        <w:t xml:space="preserve">All </w:t>
      </w:r>
      <w:r w:rsidR="00FD121B" w:rsidRPr="000960EC">
        <w:rPr>
          <w:b/>
          <w:bCs/>
        </w:rPr>
        <w:t>Officers</w:t>
      </w:r>
      <w:r w:rsidR="00FD121B" w:rsidRPr="000960EC">
        <w:t xml:space="preserve"> will:</w:t>
      </w:r>
    </w:p>
    <w:p w14:paraId="07656746" w14:textId="55F1B17F" w:rsidR="00FD121B" w:rsidRDefault="00FD121B" w:rsidP="00317416">
      <w:pPr>
        <w:pStyle w:val="ListParagraph"/>
        <w:numPr>
          <w:ilvl w:val="0"/>
          <w:numId w:val="5"/>
        </w:numPr>
        <w:ind w:left="2552" w:hanging="414"/>
        <w:jc w:val="both"/>
      </w:pPr>
      <w:r>
        <w:t xml:space="preserve">Take full responsibility for </w:t>
      </w:r>
      <w:r w:rsidR="00CE4D32">
        <w:t xml:space="preserve">promptly reporting </w:t>
      </w:r>
      <w:r w:rsidR="005E6780">
        <w:t xml:space="preserve">to their line manager </w:t>
      </w:r>
      <w:r w:rsidR="00CE4D32">
        <w:t xml:space="preserve">any </w:t>
      </w:r>
      <w:r w:rsidR="00BD3063">
        <w:t xml:space="preserve">DSE-related concerns, including defective equipment </w:t>
      </w:r>
      <w:r w:rsidR="00CE4D32">
        <w:t>or</w:t>
      </w:r>
      <w:r w:rsidR="00BD3063">
        <w:t xml:space="preserve"> unsuitable </w:t>
      </w:r>
      <w:r w:rsidR="00CE4D32">
        <w:t>workstations.</w:t>
      </w:r>
    </w:p>
    <w:p w14:paraId="31DE0CE3" w14:textId="4193171A" w:rsidR="002B23C6" w:rsidRDefault="002B23C6" w:rsidP="00317416">
      <w:pPr>
        <w:pStyle w:val="ListParagraph"/>
        <w:numPr>
          <w:ilvl w:val="0"/>
          <w:numId w:val="5"/>
        </w:numPr>
        <w:ind w:left="2552" w:hanging="414"/>
        <w:jc w:val="both"/>
      </w:pPr>
      <w:r>
        <w:t xml:space="preserve">Report to their line manager any eye-health </w:t>
      </w:r>
      <w:r w:rsidR="00BD3063">
        <w:t>issues</w:t>
      </w:r>
      <w:r>
        <w:t xml:space="preserve"> or discomfort believed to be associated with</w:t>
      </w:r>
      <w:r w:rsidR="00CE4D32">
        <w:t xml:space="preserve"> </w:t>
      </w:r>
      <w:r w:rsidRPr="002B23C6">
        <w:t>DSE</w:t>
      </w:r>
      <w:r w:rsidR="00CE4D32">
        <w:t xml:space="preserve"> use</w:t>
      </w:r>
      <w:r>
        <w:t>.</w:t>
      </w:r>
    </w:p>
    <w:p w14:paraId="08169146" w14:textId="42EA0D19" w:rsidR="00B81EC6" w:rsidRDefault="002B23C6" w:rsidP="00317416">
      <w:pPr>
        <w:pStyle w:val="ListParagraph"/>
        <w:numPr>
          <w:ilvl w:val="0"/>
          <w:numId w:val="5"/>
        </w:numPr>
        <w:ind w:left="2552" w:hanging="414"/>
        <w:jc w:val="both"/>
      </w:pPr>
      <w:r>
        <w:t>See</w:t>
      </w:r>
      <w:r w:rsidR="00CE4D32">
        <w:t xml:space="preserve">k </w:t>
      </w:r>
      <w:r>
        <w:t xml:space="preserve">advice </w:t>
      </w:r>
      <w:r w:rsidR="00BD3063">
        <w:t xml:space="preserve">regarding </w:t>
      </w:r>
      <w:r w:rsidR="00CE4D32">
        <w:t>any health conditions that may affect, or be affected by, regular DSE use.</w:t>
      </w:r>
    </w:p>
    <w:p w14:paraId="698A17C2" w14:textId="72BD054F" w:rsidR="00FD121B" w:rsidRDefault="00BD3063" w:rsidP="00317416">
      <w:pPr>
        <w:pStyle w:val="ListParagraph"/>
        <w:numPr>
          <w:ilvl w:val="0"/>
          <w:numId w:val="5"/>
        </w:numPr>
        <w:ind w:left="2552" w:hanging="414"/>
        <w:jc w:val="both"/>
      </w:pPr>
      <w:r>
        <w:t>Request reasonable adjustments to their workstation where necessary</w:t>
      </w:r>
      <w:r w:rsidR="000E2721">
        <w:t>.</w:t>
      </w:r>
    </w:p>
    <w:p w14:paraId="3EDE9859" w14:textId="5881AA86" w:rsidR="002B23C6" w:rsidRDefault="006A3612" w:rsidP="00317416">
      <w:pPr>
        <w:pStyle w:val="ListParagraph"/>
        <w:numPr>
          <w:ilvl w:val="0"/>
          <w:numId w:val="5"/>
        </w:numPr>
        <w:ind w:left="2552" w:hanging="414"/>
        <w:jc w:val="both"/>
      </w:pPr>
      <w:r>
        <w:t>Follo</w:t>
      </w:r>
      <w:r w:rsidR="00BD3063">
        <w:t xml:space="preserve">w </w:t>
      </w:r>
      <w:r w:rsidR="00CE4D32">
        <w:t xml:space="preserve">all </w:t>
      </w:r>
      <w:r>
        <w:t xml:space="preserve">instructions and </w:t>
      </w:r>
      <w:r w:rsidR="002B23C6">
        <w:t xml:space="preserve">attend </w:t>
      </w:r>
      <w:r w:rsidR="00BD3063">
        <w:t xml:space="preserve">any </w:t>
      </w:r>
      <w:r>
        <w:t>training</w:t>
      </w:r>
      <w:r w:rsidR="00BD3063">
        <w:t xml:space="preserve"> provided on safe workstation set-up and use</w:t>
      </w:r>
      <w:r w:rsidR="000E2721">
        <w:t>.</w:t>
      </w:r>
    </w:p>
    <w:p w14:paraId="2F72A25B" w14:textId="77777777" w:rsidR="0007003F" w:rsidRDefault="0007003F" w:rsidP="0007003F">
      <w:pPr>
        <w:pStyle w:val="ListParagraph"/>
        <w:ind w:left="2880"/>
        <w:jc w:val="both"/>
      </w:pPr>
    </w:p>
    <w:p w14:paraId="2992F199" w14:textId="2913125B" w:rsidR="000648BD" w:rsidRPr="000C040D" w:rsidRDefault="000648BD" w:rsidP="00317416">
      <w:pPr>
        <w:pStyle w:val="ListParagraph"/>
        <w:numPr>
          <w:ilvl w:val="0"/>
          <w:numId w:val="1"/>
        </w:numPr>
        <w:jc w:val="both"/>
        <w:rPr>
          <w:b/>
          <w:bCs/>
        </w:rPr>
      </w:pPr>
      <w:r w:rsidRPr="000C040D">
        <w:rPr>
          <w:b/>
          <w:bCs/>
        </w:rPr>
        <w:t>Statement of the Council</w:t>
      </w:r>
    </w:p>
    <w:p w14:paraId="0B55E54E" w14:textId="77777777" w:rsidR="00A44037" w:rsidRDefault="00A44037" w:rsidP="00A44037">
      <w:pPr>
        <w:pStyle w:val="ListParagraph"/>
        <w:jc w:val="both"/>
        <w:rPr>
          <w:b/>
          <w:bCs/>
        </w:rPr>
      </w:pPr>
    </w:p>
    <w:p w14:paraId="69A7384A" w14:textId="15FA8FDB" w:rsidR="002C6494" w:rsidRDefault="002C6494" w:rsidP="00317416">
      <w:pPr>
        <w:pStyle w:val="ListParagraph"/>
        <w:numPr>
          <w:ilvl w:val="1"/>
          <w:numId w:val="1"/>
        </w:numPr>
        <w:ind w:left="1440"/>
        <w:jc w:val="both"/>
      </w:pPr>
      <w:r w:rsidRPr="002C6494">
        <w:t>The Council recognises that a high proportion of DSE users may experience aches, pain, or eye discomfort as</w:t>
      </w:r>
      <w:r w:rsidR="000B1569">
        <w:t xml:space="preserve"> </w:t>
      </w:r>
      <w:r w:rsidRPr="002C6494">
        <w:t xml:space="preserve">result of </w:t>
      </w:r>
      <w:r w:rsidR="00FF67FD">
        <w:t xml:space="preserve">their </w:t>
      </w:r>
      <w:r w:rsidRPr="002C6494">
        <w:t>prolonged</w:t>
      </w:r>
      <w:r w:rsidR="000B1569">
        <w:t xml:space="preserve"> </w:t>
      </w:r>
      <w:r w:rsidRPr="002C6494">
        <w:t>DSE use.</w:t>
      </w:r>
    </w:p>
    <w:p w14:paraId="06A679F7" w14:textId="0C59FC8D" w:rsidR="00E801E9" w:rsidRDefault="00A63322" w:rsidP="00317416">
      <w:pPr>
        <w:pStyle w:val="ListParagraph"/>
        <w:numPr>
          <w:ilvl w:val="1"/>
          <w:numId w:val="1"/>
        </w:numPr>
        <w:ind w:left="1440"/>
        <w:jc w:val="both"/>
      </w:pPr>
      <w:r>
        <w:t>By acknowledging this</w:t>
      </w:r>
      <w:r w:rsidR="004F09B0">
        <w:t xml:space="preserve">, the Council </w:t>
      </w:r>
      <w:r w:rsidR="003770C2">
        <w:t xml:space="preserve">has implemented </w:t>
      </w:r>
      <w:r w:rsidR="00E801E9" w:rsidRPr="00E801E9">
        <w:t>precautionary measures and proactive steps</w:t>
      </w:r>
      <w:r w:rsidR="00E40CE2">
        <w:t xml:space="preserve"> to ensure that users can </w:t>
      </w:r>
      <w:r w:rsidR="003770C2">
        <w:t xml:space="preserve">work </w:t>
      </w:r>
      <w:r w:rsidR="00E40CE2">
        <w:t xml:space="preserve">comfortably </w:t>
      </w:r>
      <w:r w:rsidR="003770C2">
        <w:t xml:space="preserve">with </w:t>
      </w:r>
      <w:r>
        <w:t>display screen equipment and minimise visual fatigue</w:t>
      </w:r>
      <w:r w:rsidR="00E40CE2">
        <w:t>.</w:t>
      </w:r>
    </w:p>
    <w:p w14:paraId="2A4E4B89" w14:textId="37F9F6CE" w:rsidR="000F504D" w:rsidRDefault="00E801E9" w:rsidP="00317416">
      <w:pPr>
        <w:pStyle w:val="ListParagraph"/>
        <w:numPr>
          <w:ilvl w:val="1"/>
          <w:numId w:val="1"/>
        </w:numPr>
        <w:ind w:left="1440"/>
        <w:jc w:val="both"/>
      </w:pPr>
      <w:r>
        <w:lastRenderedPageBreak/>
        <w:t>Th</w:t>
      </w:r>
      <w:r w:rsidR="000F504D">
        <w:t xml:space="preserve">is policy </w:t>
      </w:r>
      <w:r w:rsidR="00A63322">
        <w:t xml:space="preserve">has </w:t>
      </w:r>
      <w:r w:rsidR="000F504D">
        <w:t xml:space="preserve">therefore been developed to </w:t>
      </w:r>
      <w:r w:rsidRPr="00E801E9">
        <w:t xml:space="preserve">enable </w:t>
      </w:r>
      <w:r w:rsidR="00E55DC8">
        <w:t>users</w:t>
      </w:r>
      <w:r w:rsidRPr="00E801E9">
        <w:t xml:space="preserve"> to take appropriate </w:t>
      </w:r>
      <w:r w:rsidR="000F504D">
        <w:t xml:space="preserve">action to reduce DSE-related risks, including </w:t>
      </w:r>
      <w:r w:rsidR="00A63322">
        <w:t>access to contributions towards eye examinations and eyesight tests.</w:t>
      </w:r>
    </w:p>
    <w:p w14:paraId="526555D3" w14:textId="5BB3E70D" w:rsidR="00B8016C" w:rsidRPr="00A44037" w:rsidRDefault="00152E4F" w:rsidP="00317416">
      <w:pPr>
        <w:pStyle w:val="ListParagraph"/>
        <w:numPr>
          <w:ilvl w:val="1"/>
          <w:numId w:val="1"/>
        </w:numPr>
        <w:ind w:left="1440"/>
        <w:jc w:val="both"/>
      </w:pPr>
      <w:r>
        <w:t>The</w:t>
      </w:r>
      <w:r w:rsidR="005428D1">
        <w:t xml:space="preserve"> Council </w:t>
      </w:r>
      <w:r w:rsidR="00263868">
        <w:t>adopts a</w:t>
      </w:r>
      <w:r w:rsidR="005428D1">
        <w:t xml:space="preserve"> zero-tolerance approach </w:t>
      </w:r>
      <w:r w:rsidR="00263868">
        <w:t xml:space="preserve">to inappropriate </w:t>
      </w:r>
      <w:r w:rsidR="005428D1" w:rsidRPr="00263868">
        <w:rPr>
          <w:color w:val="000000" w:themeColor="text1"/>
        </w:rPr>
        <w:t xml:space="preserve">behaviour </w:t>
      </w:r>
      <w:r w:rsidR="00263868">
        <w:rPr>
          <w:color w:val="000000" w:themeColor="text1"/>
        </w:rPr>
        <w:t>in</w:t>
      </w:r>
      <w:r w:rsidR="005428D1" w:rsidRPr="00263868">
        <w:rPr>
          <w:color w:val="000000" w:themeColor="text1"/>
        </w:rPr>
        <w:t xml:space="preserve"> the workplace. </w:t>
      </w:r>
      <w:r w:rsidR="00263868">
        <w:rPr>
          <w:color w:val="000000" w:themeColor="text1"/>
        </w:rPr>
        <w:t xml:space="preserve">Any mistreatment of an officer by a colleague </w:t>
      </w:r>
      <w:r>
        <w:rPr>
          <w:color w:val="000000" w:themeColor="text1"/>
        </w:rPr>
        <w:t xml:space="preserve">in relation to a health condition will be investigated and, where appropriate, </w:t>
      </w:r>
      <w:r w:rsidR="00263868" w:rsidRPr="00152E4F">
        <w:rPr>
          <w:color w:val="000000" w:themeColor="text1"/>
        </w:rPr>
        <w:t xml:space="preserve">addressed in accordance with the </w:t>
      </w:r>
      <w:r w:rsidR="005428D1" w:rsidRPr="00152E4F">
        <w:rPr>
          <w:color w:val="000000" w:themeColor="text1"/>
        </w:rPr>
        <w:t>Council</w:t>
      </w:r>
      <w:r>
        <w:rPr>
          <w:color w:val="000000" w:themeColor="text1"/>
        </w:rPr>
        <w:t>’s</w:t>
      </w:r>
      <w:r w:rsidR="005428D1" w:rsidRPr="00152E4F">
        <w:rPr>
          <w:color w:val="000000" w:themeColor="text1"/>
        </w:rPr>
        <w:t xml:space="preserve"> </w:t>
      </w:r>
      <w:r w:rsidR="0075038C" w:rsidRPr="00152E4F">
        <w:rPr>
          <w:color w:val="000000" w:themeColor="text1"/>
        </w:rPr>
        <w:t>D</w:t>
      </w:r>
      <w:r w:rsidR="005428D1" w:rsidRPr="00152E4F">
        <w:rPr>
          <w:color w:val="000000" w:themeColor="text1"/>
        </w:rPr>
        <w:t xml:space="preserve">isciplinary </w:t>
      </w:r>
      <w:r w:rsidR="0075038C" w:rsidRPr="00152E4F">
        <w:rPr>
          <w:color w:val="000000" w:themeColor="text1"/>
        </w:rPr>
        <w:t>P</w:t>
      </w:r>
      <w:r w:rsidR="005428D1" w:rsidRPr="00152E4F">
        <w:rPr>
          <w:color w:val="000000" w:themeColor="text1"/>
        </w:rPr>
        <w:t>olicy.</w:t>
      </w:r>
    </w:p>
    <w:p w14:paraId="0DBD789A" w14:textId="77777777" w:rsidR="00B8016C" w:rsidRDefault="00B8016C" w:rsidP="00B8016C">
      <w:pPr>
        <w:pStyle w:val="ListParagraph"/>
        <w:ind w:left="2160"/>
        <w:jc w:val="both"/>
      </w:pPr>
    </w:p>
    <w:p w14:paraId="023C35E1" w14:textId="11B83051" w:rsidR="006F18E7" w:rsidRPr="000C040D" w:rsidRDefault="007C5F2C" w:rsidP="00317416">
      <w:pPr>
        <w:pStyle w:val="ListParagraph"/>
        <w:numPr>
          <w:ilvl w:val="0"/>
          <w:numId w:val="1"/>
        </w:numPr>
        <w:jc w:val="both"/>
        <w:rPr>
          <w:b/>
          <w:bCs/>
        </w:rPr>
      </w:pPr>
      <w:r w:rsidRPr="000C040D">
        <w:rPr>
          <w:b/>
          <w:bCs/>
        </w:rPr>
        <w:t>Eye-Health Risks of Working with DSE</w:t>
      </w:r>
    </w:p>
    <w:p w14:paraId="49054796" w14:textId="77777777" w:rsidR="0007003F" w:rsidRPr="0007003F" w:rsidRDefault="0007003F" w:rsidP="0007003F">
      <w:pPr>
        <w:pStyle w:val="ListParagraph"/>
        <w:jc w:val="both"/>
        <w:rPr>
          <w:b/>
          <w:bCs/>
        </w:rPr>
      </w:pPr>
    </w:p>
    <w:p w14:paraId="6BF26114" w14:textId="12554EBA" w:rsidR="004611C6" w:rsidRDefault="007C5F2C" w:rsidP="00317416">
      <w:pPr>
        <w:pStyle w:val="ListParagraph"/>
        <w:numPr>
          <w:ilvl w:val="1"/>
          <w:numId w:val="1"/>
        </w:numPr>
        <w:ind w:left="1440"/>
        <w:jc w:val="both"/>
      </w:pPr>
      <w:r>
        <w:t xml:space="preserve">The Council recognises that DSE users may face </w:t>
      </w:r>
      <w:r w:rsidR="009379B1">
        <w:t>eye-</w:t>
      </w:r>
      <w:r>
        <w:t>health risks</w:t>
      </w:r>
      <w:r w:rsidR="004611C6">
        <w:t xml:space="preserve">, including potential long-term health effects, </w:t>
      </w:r>
      <w:r w:rsidR="001C0B8A">
        <w:t>where</w:t>
      </w:r>
      <w:r w:rsidR="004611C6">
        <w:t>:</w:t>
      </w:r>
    </w:p>
    <w:p w14:paraId="1F2E4D67" w14:textId="381E81B0" w:rsidR="004611C6" w:rsidRDefault="009379B1" w:rsidP="00317416">
      <w:pPr>
        <w:pStyle w:val="ListParagraph"/>
        <w:numPr>
          <w:ilvl w:val="0"/>
          <w:numId w:val="2"/>
        </w:numPr>
        <w:jc w:val="both"/>
      </w:pPr>
      <w:r w:rsidRPr="004611C6">
        <w:rPr>
          <w:b/>
          <w:bCs/>
        </w:rPr>
        <w:t xml:space="preserve">Visual Discomfort </w:t>
      </w:r>
      <w:r w:rsidR="004611C6">
        <w:rPr>
          <w:b/>
          <w:bCs/>
        </w:rPr>
        <w:t xml:space="preserve">and </w:t>
      </w:r>
      <w:r w:rsidRPr="004611C6">
        <w:rPr>
          <w:b/>
          <w:bCs/>
        </w:rPr>
        <w:t xml:space="preserve">Impairment </w:t>
      </w:r>
      <w:r w:rsidRPr="009379B1">
        <w:t>may occur when display screens are positioned at an excessive viewing distance</w:t>
      </w:r>
      <w:r w:rsidR="007311A8">
        <w:t xml:space="preserve">, </w:t>
      </w:r>
      <w:r w:rsidR="004611C6">
        <w:t xml:space="preserve">set with inappropriate brightness or contrast, or when on-screen text is too small to read </w:t>
      </w:r>
      <w:r w:rsidRPr="009379B1">
        <w:t>comfortably</w:t>
      </w:r>
      <w:r w:rsidR="004F0C1F">
        <w:t xml:space="preserve">. </w:t>
      </w:r>
      <w:r w:rsidR="004611C6">
        <w:t xml:space="preserve">These </w:t>
      </w:r>
      <w:r w:rsidR="001C0B8A">
        <w:t>factors</w:t>
      </w:r>
      <w:r w:rsidR="004611C6">
        <w:t xml:space="preserve"> may lead to eye strain, reduced visual efficiency, and decreased work performance.</w:t>
      </w:r>
    </w:p>
    <w:p w14:paraId="42420006" w14:textId="62225DE7" w:rsidR="00702267" w:rsidRDefault="0034098D" w:rsidP="00317416">
      <w:pPr>
        <w:pStyle w:val="ListParagraph"/>
        <w:numPr>
          <w:ilvl w:val="0"/>
          <w:numId w:val="2"/>
        </w:numPr>
        <w:jc w:val="both"/>
      </w:pPr>
      <w:r w:rsidRPr="004611C6">
        <w:rPr>
          <w:b/>
          <w:bCs/>
        </w:rPr>
        <w:t>Incorrect Vision</w:t>
      </w:r>
      <w:r w:rsidR="001E7849">
        <w:rPr>
          <w:b/>
          <w:bCs/>
        </w:rPr>
        <w:t xml:space="preserve"> Correction</w:t>
      </w:r>
      <w:r w:rsidRPr="004611C6">
        <w:rPr>
          <w:b/>
          <w:bCs/>
        </w:rPr>
        <w:t xml:space="preserve"> </w:t>
      </w:r>
      <w:r w:rsidR="004611C6">
        <w:t xml:space="preserve">may result </w:t>
      </w:r>
      <w:r>
        <w:t xml:space="preserve">from </w:t>
      </w:r>
      <w:r w:rsidR="004611C6">
        <w:t xml:space="preserve">the use of </w:t>
      </w:r>
      <w:r w:rsidR="001E7849">
        <w:t xml:space="preserve">inappropriate prescription </w:t>
      </w:r>
      <w:r w:rsidR="004611C6">
        <w:t xml:space="preserve">spectacles or contact lenses, or from the absence of </w:t>
      </w:r>
      <w:r>
        <w:t>corrective eyewear</w:t>
      </w:r>
      <w:r w:rsidR="004611C6">
        <w:t xml:space="preserve">. This can </w:t>
      </w:r>
      <w:r>
        <w:t>significantly contribute to visual discomfort and fatigue</w:t>
      </w:r>
      <w:r w:rsidR="004611C6">
        <w:t xml:space="preserve">, increasing the likelihood of headaches, reduced concentration, and overall eye discomfort during screen-based </w:t>
      </w:r>
      <w:r w:rsidR="007A7949">
        <w:t>tasks.</w:t>
      </w:r>
    </w:p>
    <w:p w14:paraId="434F0D08" w14:textId="490CF14E" w:rsidR="00702267" w:rsidRDefault="002C0057" w:rsidP="00317416">
      <w:pPr>
        <w:pStyle w:val="ListParagraph"/>
        <w:numPr>
          <w:ilvl w:val="1"/>
          <w:numId w:val="1"/>
        </w:numPr>
        <w:ind w:left="1440"/>
        <w:jc w:val="both"/>
      </w:pPr>
      <w:r>
        <w:t>T</w:t>
      </w:r>
      <w:r w:rsidR="000516F7">
        <w:t xml:space="preserve">he </w:t>
      </w:r>
      <w:r w:rsidR="00702267">
        <w:t xml:space="preserve">Council encourages </w:t>
      </w:r>
      <w:r w:rsidR="00E55DC8">
        <w:t>users</w:t>
      </w:r>
      <w:r w:rsidR="00702267">
        <w:t xml:space="preserve"> to report </w:t>
      </w:r>
      <w:r w:rsidR="000516F7">
        <w:t>any sign</w:t>
      </w:r>
      <w:r w:rsidR="00024FAB">
        <w:t>s</w:t>
      </w:r>
      <w:r w:rsidR="000516F7">
        <w:t xml:space="preserve"> of ill health related to DSE use to the </w:t>
      </w:r>
      <w:r w:rsidR="00702267">
        <w:t xml:space="preserve">HR &amp; OD Manager, </w:t>
      </w:r>
      <w:r w:rsidR="000516F7">
        <w:t xml:space="preserve">or to </w:t>
      </w:r>
      <w:r w:rsidR="00024FAB">
        <w:t>inform</w:t>
      </w:r>
      <w:r w:rsidR="00702267">
        <w:t xml:space="preserve"> their </w:t>
      </w:r>
      <w:r w:rsidR="004B7138">
        <w:t xml:space="preserve">line </w:t>
      </w:r>
      <w:r w:rsidR="00702267">
        <w:t>manager</w:t>
      </w:r>
      <w:r w:rsidR="000516F7">
        <w:t xml:space="preserve"> </w:t>
      </w:r>
      <w:r w:rsidR="00024FAB">
        <w:t xml:space="preserve">where this may affect the </w:t>
      </w:r>
      <w:r w:rsidR="000516F7">
        <w:t xml:space="preserve">safe use of </w:t>
      </w:r>
      <w:r w:rsidR="00702267">
        <w:t>DSE.</w:t>
      </w:r>
    </w:p>
    <w:p w14:paraId="465547B4" w14:textId="58E0BFAD" w:rsidR="007311A8" w:rsidRDefault="002C0057" w:rsidP="00317416">
      <w:pPr>
        <w:pStyle w:val="ListParagraph"/>
        <w:numPr>
          <w:ilvl w:val="1"/>
          <w:numId w:val="1"/>
        </w:numPr>
        <w:ind w:left="1440"/>
        <w:jc w:val="both"/>
      </w:pPr>
      <w:r>
        <w:t xml:space="preserve">In </w:t>
      </w:r>
      <w:r w:rsidR="008B76FD">
        <w:t>such</w:t>
      </w:r>
      <w:r>
        <w:t xml:space="preserve"> case</w:t>
      </w:r>
      <w:r w:rsidR="008B76FD">
        <w:t>s</w:t>
      </w:r>
      <w:r>
        <w:t xml:space="preserve">, the </w:t>
      </w:r>
      <w:r w:rsidR="008B1901">
        <w:t xml:space="preserve">Council </w:t>
      </w:r>
      <w:r>
        <w:t xml:space="preserve">is committed to supporting </w:t>
      </w:r>
      <w:r w:rsidR="00E55DC8">
        <w:t>users</w:t>
      </w:r>
      <w:r>
        <w:t xml:space="preserve"> experiencing </w:t>
      </w:r>
      <w:r w:rsidR="008B1901">
        <w:t xml:space="preserve">DSE-related health </w:t>
      </w:r>
      <w:r>
        <w:t xml:space="preserve">issues by </w:t>
      </w:r>
      <w:r w:rsidR="008B76FD">
        <w:t>supporting appropriate eye-examinations and eyesight tests where required or upon request</w:t>
      </w:r>
      <w:r w:rsidR="008B1901">
        <w:t>.</w:t>
      </w:r>
    </w:p>
    <w:p w14:paraId="0BF31FE8" w14:textId="77777777" w:rsidR="00B43FE8" w:rsidRPr="007C5F2C" w:rsidRDefault="00B43FE8" w:rsidP="00B43FE8">
      <w:pPr>
        <w:pStyle w:val="ListParagraph"/>
        <w:ind w:left="1440"/>
        <w:jc w:val="both"/>
      </w:pPr>
    </w:p>
    <w:p w14:paraId="7F5D5BD8" w14:textId="15DAF6FE" w:rsidR="007C5F2C" w:rsidRPr="000C040D" w:rsidRDefault="007C5F2C" w:rsidP="00317416">
      <w:pPr>
        <w:pStyle w:val="ListParagraph"/>
        <w:numPr>
          <w:ilvl w:val="0"/>
          <w:numId w:val="1"/>
        </w:numPr>
        <w:jc w:val="both"/>
        <w:rPr>
          <w:b/>
          <w:bCs/>
        </w:rPr>
      </w:pPr>
      <w:r w:rsidRPr="000C040D">
        <w:rPr>
          <w:b/>
          <w:bCs/>
        </w:rPr>
        <w:t xml:space="preserve">Eye </w:t>
      </w:r>
      <w:r w:rsidR="00D37595" w:rsidRPr="000C040D">
        <w:rPr>
          <w:b/>
          <w:bCs/>
        </w:rPr>
        <w:t xml:space="preserve">Tests and </w:t>
      </w:r>
      <w:r w:rsidR="00C67AC0" w:rsidRPr="000C040D">
        <w:rPr>
          <w:b/>
          <w:bCs/>
        </w:rPr>
        <w:t xml:space="preserve">Requesting </w:t>
      </w:r>
      <w:r w:rsidR="00D37595" w:rsidRPr="000C040D">
        <w:rPr>
          <w:b/>
          <w:bCs/>
        </w:rPr>
        <w:t>Spectacles for DSE Use</w:t>
      </w:r>
      <w:r w:rsidRPr="000C040D">
        <w:rPr>
          <w:b/>
          <w:bCs/>
        </w:rPr>
        <w:t xml:space="preserve"> </w:t>
      </w:r>
    </w:p>
    <w:p w14:paraId="2369CF91" w14:textId="77777777" w:rsidR="00006C2C" w:rsidRDefault="00006C2C" w:rsidP="00006C2C">
      <w:pPr>
        <w:pStyle w:val="ListParagraph"/>
        <w:jc w:val="both"/>
        <w:rPr>
          <w:b/>
          <w:bCs/>
        </w:rPr>
      </w:pPr>
    </w:p>
    <w:p w14:paraId="2C4045CF" w14:textId="3CC6E427" w:rsidR="007B0D4F" w:rsidRDefault="007B0D4F" w:rsidP="00317416">
      <w:pPr>
        <w:pStyle w:val="ListParagraph"/>
        <w:numPr>
          <w:ilvl w:val="1"/>
          <w:numId w:val="1"/>
        </w:numPr>
        <w:ind w:left="1440"/>
        <w:jc w:val="both"/>
      </w:pPr>
      <w:r>
        <w:t xml:space="preserve">The </w:t>
      </w:r>
      <w:r w:rsidR="00315A19">
        <w:t>Council accepts that access to eyesight tests helps users to maintain comfort, job satisfaction, and perform their work effectively</w:t>
      </w:r>
      <w:r w:rsidR="00EA745A">
        <w:t>.</w:t>
      </w:r>
    </w:p>
    <w:p w14:paraId="5B529715" w14:textId="352B8EED" w:rsidR="00594614" w:rsidRDefault="00411491" w:rsidP="00317416">
      <w:pPr>
        <w:pStyle w:val="ListParagraph"/>
        <w:numPr>
          <w:ilvl w:val="1"/>
          <w:numId w:val="1"/>
        </w:numPr>
        <w:ind w:left="1440"/>
        <w:jc w:val="both"/>
      </w:pPr>
      <w:r>
        <w:t xml:space="preserve">An eye </w:t>
      </w:r>
      <w:r w:rsidR="00594614">
        <w:t xml:space="preserve">test includes </w:t>
      </w:r>
      <w:r w:rsidR="00C94838">
        <w:t xml:space="preserve">a comprehensive eye and vision examination, taking into account the nature of the user’s work and the typical viewing </w:t>
      </w:r>
      <w:r w:rsidR="00EF1B23">
        <w:t>distance of the screen.</w:t>
      </w:r>
    </w:p>
    <w:p w14:paraId="79B2A42A" w14:textId="7B974BC0" w:rsidR="00EA745A" w:rsidRDefault="00633741" w:rsidP="00317416">
      <w:pPr>
        <w:pStyle w:val="ListParagraph"/>
        <w:numPr>
          <w:ilvl w:val="1"/>
          <w:numId w:val="1"/>
        </w:numPr>
        <w:ind w:left="1440"/>
        <w:jc w:val="both"/>
      </w:pPr>
      <w:r>
        <w:t>Users</w:t>
      </w:r>
      <w:r w:rsidR="00EA745A">
        <w:t xml:space="preserve"> are </w:t>
      </w:r>
      <w:r>
        <w:t>entitled to</w:t>
      </w:r>
      <w:r w:rsidR="00EA745A">
        <w:t xml:space="preserve"> </w:t>
      </w:r>
      <w:r w:rsidR="005E3D5D">
        <w:t xml:space="preserve">eye and eyesight tests, and corrective spectacles specifically required for DSE use, </w:t>
      </w:r>
      <w:r w:rsidR="73A86A9A">
        <w:t>(every two years)</w:t>
      </w:r>
      <w:r w:rsidR="005E3D5D">
        <w:t xml:space="preserve"> upon request. The Council’s contributions towards spectacles will be provided in accordance with this policy, accordingly, requested tests will be </w:t>
      </w:r>
      <w:r w:rsidR="003B610D">
        <w:t xml:space="preserve">provided: </w:t>
      </w:r>
    </w:p>
    <w:p w14:paraId="0B2192EC" w14:textId="6C8607DA" w:rsidR="003B610D" w:rsidRDefault="003B610D" w:rsidP="00317416">
      <w:pPr>
        <w:pStyle w:val="ListParagraph"/>
        <w:numPr>
          <w:ilvl w:val="0"/>
          <w:numId w:val="2"/>
        </w:numPr>
        <w:jc w:val="both"/>
      </w:pPr>
      <w:r>
        <w:lastRenderedPageBreak/>
        <w:t xml:space="preserve">As soon as </w:t>
      </w:r>
      <w:r w:rsidR="006B5087">
        <w:t xml:space="preserve">reasonably </w:t>
      </w:r>
      <w:r w:rsidRPr="003B610D">
        <w:t xml:space="preserve">practicable after </w:t>
      </w:r>
      <w:r w:rsidR="00633741">
        <w:t>a user submits a request</w:t>
      </w:r>
      <w:r w:rsidR="006B5087">
        <w:t>.</w:t>
      </w:r>
    </w:p>
    <w:p w14:paraId="493CF139" w14:textId="460F627F" w:rsidR="00757029" w:rsidRDefault="00633741" w:rsidP="00317416">
      <w:pPr>
        <w:pStyle w:val="ListParagraph"/>
        <w:numPr>
          <w:ilvl w:val="0"/>
          <w:numId w:val="2"/>
        </w:numPr>
        <w:jc w:val="both"/>
      </w:pPr>
      <w:r>
        <w:t>At intervals determined by the optician’s clinical judgement for repeated</w:t>
      </w:r>
      <w:r w:rsidR="006B5087">
        <w:t xml:space="preserve"> examinations.</w:t>
      </w:r>
    </w:p>
    <w:p w14:paraId="708F3930" w14:textId="2C2E3F12" w:rsidR="00757029" w:rsidRDefault="00C95880" w:rsidP="00317416">
      <w:pPr>
        <w:pStyle w:val="ListParagraph"/>
        <w:numPr>
          <w:ilvl w:val="0"/>
          <w:numId w:val="2"/>
        </w:numPr>
        <w:jc w:val="both"/>
      </w:pPr>
      <w:r>
        <w:t xml:space="preserve">Where users experience visual difficulties, </w:t>
      </w:r>
      <w:r w:rsidR="0033204E">
        <w:t>considering</w:t>
      </w:r>
      <w:r>
        <w:t xml:space="preserve"> individual factors such as age or disability.</w:t>
      </w:r>
    </w:p>
    <w:p w14:paraId="4434DD54" w14:textId="7F29776E" w:rsidR="00CC42B4" w:rsidRDefault="00D37595" w:rsidP="00317416">
      <w:pPr>
        <w:pStyle w:val="ListParagraph"/>
        <w:numPr>
          <w:ilvl w:val="1"/>
          <w:numId w:val="1"/>
        </w:numPr>
        <w:ind w:left="1440"/>
        <w:jc w:val="both"/>
      </w:pPr>
      <w:r>
        <w:t xml:space="preserve">If </w:t>
      </w:r>
      <w:r w:rsidR="0033204E">
        <w:t xml:space="preserve">an eyesight test shows that a user requires spectacles </w:t>
      </w:r>
      <w:r>
        <w:t xml:space="preserve">specifically for DSE work, the Council will contribute </w:t>
      </w:r>
      <w:r w:rsidR="0033204E">
        <w:t>towards the cost of a basic pair of frames, in addition to covering the eye test itself. The Council’s contribution will be as follows</w:t>
      </w:r>
      <w:r w:rsidR="00CC42B4">
        <w:t>:</w:t>
      </w:r>
    </w:p>
    <w:p w14:paraId="7124AD4F" w14:textId="77777777" w:rsidR="008F0F95" w:rsidRPr="00CC42B4" w:rsidRDefault="008F0F95" w:rsidP="008F0F95">
      <w:pPr>
        <w:pStyle w:val="ListParagraph"/>
        <w:ind w:left="1440"/>
        <w:jc w:val="both"/>
      </w:pPr>
    </w:p>
    <w:tbl>
      <w:tblPr>
        <w:tblStyle w:val="TableGrid"/>
        <w:tblW w:w="0" w:type="auto"/>
        <w:tblInd w:w="1440" w:type="dxa"/>
        <w:shd w:val="clear" w:color="auto" w:fill="A5C9EB" w:themeFill="text2" w:themeFillTint="40"/>
        <w:tblLook w:val="04A0" w:firstRow="1" w:lastRow="0" w:firstColumn="1" w:lastColumn="0" w:noHBand="0" w:noVBand="1"/>
      </w:tblPr>
      <w:tblGrid>
        <w:gridCol w:w="3844"/>
        <w:gridCol w:w="3732"/>
      </w:tblGrid>
      <w:tr w:rsidR="00CC42B4" w:rsidRPr="00782B84" w14:paraId="7A3BD8DC" w14:textId="77777777" w:rsidTr="00AA3B42">
        <w:tc>
          <w:tcPr>
            <w:tcW w:w="4508" w:type="dxa"/>
            <w:shd w:val="clear" w:color="auto" w:fill="A5C9EB" w:themeFill="text2" w:themeFillTint="40"/>
          </w:tcPr>
          <w:p w14:paraId="3574D237" w14:textId="7867C25F" w:rsidR="00CC42B4" w:rsidRPr="00782B84" w:rsidRDefault="00CC42B4" w:rsidP="00AA3B42">
            <w:pPr>
              <w:pStyle w:val="ListParagraph"/>
              <w:ind w:left="0"/>
              <w:jc w:val="both"/>
              <w:rPr>
                <w:rFonts w:cs="Arial"/>
                <w:b/>
              </w:rPr>
            </w:pPr>
            <w:r w:rsidRPr="00782B84">
              <w:rPr>
                <w:rFonts w:cs="Arial"/>
                <w:b/>
              </w:rPr>
              <w:t>Eye Tests</w:t>
            </w:r>
          </w:p>
        </w:tc>
        <w:tc>
          <w:tcPr>
            <w:tcW w:w="4508" w:type="dxa"/>
            <w:shd w:val="clear" w:color="auto" w:fill="A5C9EB" w:themeFill="text2" w:themeFillTint="40"/>
          </w:tcPr>
          <w:p w14:paraId="5DB169FC" w14:textId="70E6F47A" w:rsidR="00CC42B4" w:rsidRPr="00782B84" w:rsidRDefault="006B4107" w:rsidP="00AA3B42">
            <w:pPr>
              <w:pStyle w:val="ListParagraph"/>
              <w:ind w:left="0"/>
              <w:jc w:val="both"/>
              <w:rPr>
                <w:rFonts w:cs="Arial"/>
                <w:bCs/>
              </w:rPr>
            </w:pPr>
            <w:r>
              <w:rPr>
                <w:rFonts w:cs="Arial"/>
                <w:bCs/>
              </w:rPr>
              <w:t>£25.00</w:t>
            </w:r>
            <w:r w:rsidR="00EE4496">
              <w:rPr>
                <w:rFonts w:cs="Arial"/>
                <w:bCs/>
              </w:rPr>
              <w:t xml:space="preserve"> for a basic sight test</w:t>
            </w:r>
          </w:p>
        </w:tc>
      </w:tr>
      <w:tr w:rsidR="00CC42B4" w:rsidRPr="00782B84" w14:paraId="22421C1B" w14:textId="77777777" w:rsidTr="00AA3B42">
        <w:tc>
          <w:tcPr>
            <w:tcW w:w="4508" w:type="dxa"/>
            <w:shd w:val="clear" w:color="auto" w:fill="A5C9EB" w:themeFill="text2" w:themeFillTint="40"/>
          </w:tcPr>
          <w:p w14:paraId="64FB7AD6" w14:textId="261AE34F" w:rsidR="00CC42B4" w:rsidRPr="00782B84" w:rsidRDefault="00CC42B4" w:rsidP="00AA3B42">
            <w:pPr>
              <w:pStyle w:val="ListParagraph"/>
              <w:ind w:left="0"/>
              <w:jc w:val="both"/>
              <w:rPr>
                <w:rFonts w:cs="Arial"/>
                <w:b/>
              </w:rPr>
            </w:pPr>
            <w:r w:rsidRPr="00782B84">
              <w:rPr>
                <w:rFonts w:cs="Arial"/>
                <w:b/>
              </w:rPr>
              <w:t>Spectacles for DSE Use</w:t>
            </w:r>
          </w:p>
        </w:tc>
        <w:tc>
          <w:tcPr>
            <w:tcW w:w="4508" w:type="dxa"/>
            <w:shd w:val="clear" w:color="auto" w:fill="A5C9EB" w:themeFill="text2" w:themeFillTint="40"/>
          </w:tcPr>
          <w:p w14:paraId="1EA45AF5" w14:textId="0135AA05" w:rsidR="00CC42B4" w:rsidRPr="00782B84" w:rsidRDefault="00CC42B4" w:rsidP="00AA3B42">
            <w:pPr>
              <w:pStyle w:val="ListParagraph"/>
              <w:ind w:left="0"/>
              <w:jc w:val="both"/>
              <w:rPr>
                <w:rFonts w:cs="Arial"/>
                <w:bCs/>
              </w:rPr>
            </w:pPr>
            <w:r w:rsidRPr="00782B84">
              <w:rPr>
                <w:rFonts w:cs="Arial"/>
                <w:bCs/>
              </w:rPr>
              <w:t>£</w:t>
            </w:r>
            <w:r w:rsidR="00887A1A" w:rsidRPr="00782B84">
              <w:rPr>
                <w:rFonts w:cs="Arial"/>
                <w:bCs/>
              </w:rPr>
              <w:t>50</w:t>
            </w:r>
          </w:p>
        </w:tc>
      </w:tr>
    </w:tbl>
    <w:p w14:paraId="74B070E3" w14:textId="77777777" w:rsidR="00D57734" w:rsidRDefault="00D57734" w:rsidP="00D57734">
      <w:pPr>
        <w:jc w:val="both"/>
      </w:pPr>
    </w:p>
    <w:p w14:paraId="2864856D" w14:textId="042D753D" w:rsidR="00632E45" w:rsidRDefault="00C67AC0" w:rsidP="00317416">
      <w:pPr>
        <w:pStyle w:val="ListParagraph"/>
        <w:numPr>
          <w:ilvl w:val="1"/>
          <w:numId w:val="1"/>
        </w:numPr>
        <w:ind w:left="1440"/>
        <w:jc w:val="both"/>
      </w:pPr>
      <w:r>
        <w:t xml:space="preserve">If users already have </w:t>
      </w:r>
      <w:r w:rsidR="00673AA6">
        <w:t>spectacles</w:t>
      </w:r>
      <w:r>
        <w:t xml:space="preserve"> </w:t>
      </w:r>
      <w:r w:rsidR="1274F4FE">
        <w:t xml:space="preserve">(for other purposes for example driving/reading etc) </w:t>
      </w:r>
      <w:r>
        <w:t xml:space="preserve">that are </w:t>
      </w:r>
      <w:r w:rsidR="00673AA6">
        <w:t>suitable for regular</w:t>
      </w:r>
      <w:r>
        <w:t xml:space="preserve"> work, including DSE tasks, the Council is not obligated to cover the cost of new spectacles.</w:t>
      </w:r>
    </w:p>
    <w:p w14:paraId="328F0C74" w14:textId="77777777" w:rsidR="002A0007" w:rsidRDefault="002A0007" w:rsidP="002A0007">
      <w:pPr>
        <w:pStyle w:val="ListParagraph"/>
        <w:ind w:left="1440"/>
        <w:jc w:val="both"/>
      </w:pPr>
    </w:p>
    <w:p w14:paraId="6B8BAD07" w14:textId="1ECC3336" w:rsidR="00ED6FED" w:rsidRPr="000960EC" w:rsidRDefault="00ED6FED" w:rsidP="00317416">
      <w:pPr>
        <w:pStyle w:val="ListParagraph"/>
        <w:numPr>
          <w:ilvl w:val="0"/>
          <w:numId w:val="1"/>
        </w:numPr>
        <w:jc w:val="both"/>
        <w:rPr>
          <w:b/>
          <w:bCs/>
        </w:rPr>
      </w:pPr>
      <w:r w:rsidRPr="000960EC">
        <w:rPr>
          <w:b/>
          <w:bCs/>
        </w:rPr>
        <w:t>Arranging</w:t>
      </w:r>
      <w:r w:rsidR="0031616C">
        <w:rPr>
          <w:b/>
          <w:bCs/>
        </w:rPr>
        <w:t xml:space="preserve"> </w:t>
      </w:r>
      <w:r w:rsidRPr="000960EC">
        <w:rPr>
          <w:b/>
          <w:bCs/>
        </w:rPr>
        <w:t xml:space="preserve">Eye Test and </w:t>
      </w:r>
      <w:r w:rsidR="00C67AC0" w:rsidRPr="000960EC">
        <w:rPr>
          <w:b/>
          <w:bCs/>
        </w:rPr>
        <w:t xml:space="preserve">Providing </w:t>
      </w:r>
      <w:r w:rsidR="00C6739B" w:rsidRPr="000960EC">
        <w:rPr>
          <w:b/>
          <w:bCs/>
        </w:rPr>
        <w:t>Reimbursement</w:t>
      </w:r>
    </w:p>
    <w:p w14:paraId="7458F092" w14:textId="77777777" w:rsidR="00ED6FED" w:rsidRDefault="00ED6FED" w:rsidP="00ED6FED">
      <w:pPr>
        <w:pStyle w:val="ListParagraph"/>
        <w:jc w:val="both"/>
        <w:rPr>
          <w:b/>
          <w:bCs/>
        </w:rPr>
      </w:pPr>
    </w:p>
    <w:p w14:paraId="344C6A61" w14:textId="0E4D9802" w:rsidR="00ED6FED" w:rsidRDefault="00AB7F8E" w:rsidP="00317416">
      <w:pPr>
        <w:pStyle w:val="ListParagraph"/>
        <w:numPr>
          <w:ilvl w:val="1"/>
          <w:numId w:val="1"/>
        </w:numPr>
        <w:ind w:left="1440"/>
        <w:jc w:val="both"/>
      </w:pPr>
      <w:r>
        <w:t xml:space="preserve">Officers may use any optician of their choice </w:t>
      </w:r>
      <w:r w:rsidR="00024C3D">
        <w:t>for their eye test. The Council will reimbu</w:t>
      </w:r>
      <w:r w:rsidR="00BD149A">
        <w:t>r</w:t>
      </w:r>
      <w:r w:rsidR="00024C3D">
        <w:t>se up to £25 for a</w:t>
      </w:r>
      <w:r w:rsidR="00205E36">
        <w:t xml:space="preserve"> basic sight test </w:t>
      </w:r>
      <w:r w:rsidR="006433DA">
        <w:t xml:space="preserve">as defined </w:t>
      </w:r>
      <w:r w:rsidR="00205E36">
        <w:t>under the Optician</w:t>
      </w:r>
      <w:r w:rsidR="00B06504">
        <w:t>s</w:t>
      </w:r>
      <w:r w:rsidR="00205E36">
        <w:t xml:space="preserve"> Act</w:t>
      </w:r>
      <w:r w:rsidR="00B06504">
        <w:t xml:space="preserve"> 1989</w:t>
      </w:r>
      <w:r w:rsidR="00205E36">
        <w:t xml:space="preserve">. If staff require a more </w:t>
      </w:r>
      <w:r w:rsidR="00EA4E5B">
        <w:t>in-depth</w:t>
      </w:r>
      <w:r w:rsidR="00305FF1">
        <w:t xml:space="preserve"> </w:t>
      </w:r>
      <w:r w:rsidR="00205E36">
        <w:t>eye test</w:t>
      </w:r>
      <w:r w:rsidR="00305FF1">
        <w:t xml:space="preserve"> then they </w:t>
      </w:r>
      <w:r w:rsidR="006433DA">
        <w:t>must</w:t>
      </w:r>
      <w:r w:rsidR="00305FF1">
        <w:t xml:space="preserve"> pay </w:t>
      </w:r>
      <w:r w:rsidR="006433DA">
        <w:t>the extra cost</w:t>
      </w:r>
      <w:r w:rsidR="00305FF1">
        <w:t xml:space="preserve"> themselves.</w:t>
      </w:r>
    </w:p>
    <w:p w14:paraId="21EE3BDF" w14:textId="651132D9" w:rsidR="00AE077F" w:rsidRDefault="00ED6FED" w:rsidP="00317416">
      <w:pPr>
        <w:pStyle w:val="ListParagraph"/>
        <w:numPr>
          <w:ilvl w:val="1"/>
          <w:numId w:val="1"/>
        </w:numPr>
        <w:ind w:left="1440"/>
        <w:jc w:val="both"/>
      </w:pPr>
      <w:r w:rsidRPr="00ED6FED">
        <w:t xml:space="preserve">Officers may </w:t>
      </w:r>
      <w:r w:rsidR="00B174B9">
        <w:t>request</w:t>
      </w:r>
      <w:r w:rsidR="00AE077F">
        <w:t xml:space="preserve"> </w:t>
      </w:r>
      <w:r w:rsidR="00B174B9">
        <w:t xml:space="preserve">an appointment for an eye test </w:t>
      </w:r>
      <w:r w:rsidR="00AE077F">
        <w:t>once their employment with the Council has been confirmed</w:t>
      </w:r>
      <w:r w:rsidR="00B174B9">
        <w:t xml:space="preserve">. </w:t>
      </w:r>
    </w:p>
    <w:p w14:paraId="31DC622D" w14:textId="42E2B8B5" w:rsidR="001A3B57" w:rsidRDefault="00AE077F" w:rsidP="00317416">
      <w:pPr>
        <w:pStyle w:val="ListParagraph"/>
        <w:numPr>
          <w:ilvl w:val="1"/>
          <w:numId w:val="1"/>
        </w:numPr>
        <w:ind w:left="1440"/>
        <w:jc w:val="both"/>
      </w:pPr>
      <w:r>
        <w:t xml:space="preserve">For </w:t>
      </w:r>
      <w:r w:rsidR="0006205B">
        <w:t xml:space="preserve">reimbursable </w:t>
      </w:r>
      <w:r>
        <w:t xml:space="preserve">spectacles arranged </w:t>
      </w:r>
      <w:r w:rsidR="006D2E2D">
        <w:t>through</w:t>
      </w:r>
      <w:r w:rsidR="005930F2">
        <w:t xml:space="preserve"> their chosen optician</w:t>
      </w:r>
      <w:r w:rsidR="000A0363">
        <w:t>,</w:t>
      </w:r>
      <w:r w:rsidR="00887A1A">
        <w:t xml:space="preserve"> officers will need to pay for </w:t>
      </w:r>
      <w:r w:rsidR="000A0363">
        <w:t>their glasses</w:t>
      </w:r>
      <w:r w:rsidR="0006205B">
        <w:t xml:space="preserve"> initially</w:t>
      </w:r>
      <w:r w:rsidR="000A0363">
        <w:t xml:space="preserve"> and then follow the claims process</w:t>
      </w:r>
      <w:r w:rsidR="000A0363" w:rsidDel="0006205B">
        <w:t xml:space="preserve"> </w:t>
      </w:r>
      <w:r w:rsidR="0006205B">
        <w:t xml:space="preserve">by </w:t>
      </w:r>
      <w:r w:rsidR="00977C6F">
        <w:t>complet</w:t>
      </w:r>
      <w:r w:rsidR="0006205B">
        <w:t>ing</w:t>
      </w:r>
      <w:r w:rsidR="00977C6F">
        <w:t xml:space="preserve"> the </w:t>
      </w:r>
      <w:r w:rsidR="00977C6F" w:rsidRPr="00977C6F">
        <w:t>DSE Eye Test Expense Claim Form</w:t>
      </w:r>
      <w:r w:rsidR="00977C6F">
        <w:t>, ensuring that all sections are fully completed</w:t>
      </w:r>
      <w:r w:rsidR="001A3B57">
        <w:t>.</w:t>
      </w:r>
    </w:p>
    <w:p w14:paraId="4468F95D" w14:textId="1D0AAFF9" w:rsidR="00977C6F" w:rsidRDefault="00977C6F" w:rsidP="00317416">
      <w:pPr>
        <w:pStyle w:val="ListParagraph"/>
        <w:numPr>
          <w:ilvl w:val="1"/>
          <w:numId w:val="1"/>
        </w:numPr>
        <w:ind w:left="1440"/>
        <w:jc w:val="both"/>
      </w:pPr>
      <w:r>
        <w:t>Officers must ensure that the form is completed accurately, dated, signed, and submitted for authorisation at the end of the month in which the eye test and expense was incurred, or by the payroll cut-off date, in order for it to be paid within that month’s payroll.</w:t>
      </w:r>
    </w:p>
    <w:p w14:paraId="724EF44C" w14:textId="1C30BF35" w:rsidR="00977C6F" w:rsidRDefault="00977C6F" w:rsidP="00317416">
      <w:pPr>
        <w:pStyle w:val="ListParagraph"/>
        <w:numPr>
          <w:ilvl w:val="1"/>
          <w:numId w:val="1"/>
        </w:numPr>
        <w:ind w:left="1440"/>
        <w:jc w:val="both"/>
      </w:pPr>
      <w:r>
        <w:t xml:space="preserve">Once the </w:t>
      </w:r>
      <w:r w:rsidR="00782B84">
        <w:t>f</w:t>
      </w:r>
      <w:r>
        <w:t xml:space="preserve">orm is completed and signed, officers should submit it by email, to their </w:t>
      </w:r>
      <w:r w:rsidR="0006205B">
        <w:t xml:space="preserve">line </w:t>
      </w:r>
      <w:r>
        <w:t>manager for</w:t>
      </w:r>
      <w:r w:rsidR="00F4768A">
        <w:t xml:space="preserve"> </w:t>
      </w:r>
      <w:r>
        <w:t>approval.</w:t>
      </w:r>
      <w:r w:rsidR="00F4768A">
        <w:t xml:space="preserve"> Following the </w:t>
      </w:r>
      <w:r w:rsidR="0006205B">
        <w:t xml:space="preserve">line </w:t>
      </w:r>
      <w:r w:rsidR="00F4768A">
        <w:t xml:space="preserve">manager’s approval, the form should be forwarded to the HR &amp; OD Manager and the Finance Manager to ensure </w:t>
      </w:r>
      <w:r w:rsidR="0006205B">
        <w:t>reimbursement</w:t>
      </w:r>
      <w:r w:rsidR="00F4768A">
        <w:t>.</w:t>
      </w:r>
    </w:p>
    <w:p w14:paraId="2CFEBAF8" w14:textId="2F2129EC" w:rsidR="00F4768A" w:rsidRDefault="00F4768A" w:rsidP="00317416">
      <w:pPr>
        <w:pStyle w:val="ListParagraph"/>
        <w:numPr>
          <w:ilvl w:val="1"/>
          <w:numId w:val="1"/>
        </w:numPr>
        <w:ind w:left="1440"/>
        <w:jc w:val="both"/>
      </w:pPr>
      <w:r>
        <w:t xml:space="preserve">The reimbursement will be processed through the officer’s next available salary payment and will not be subject to tax, National Insurance, or pension </w:t>
      </w:r>
      <w:r w:rsidRPr="00487A3F">
        <w:t>deductions.</w:t>
      </w:r>
    </w:p>
    <w:p w14:paraId="3C9E021D" w14:textId="26520F63" w:rsidR="000F2AE5" w:rsidRDefault="00F4768A" w:rsidP="00317416">
      <w:pPr>
        <w:pStyle w:val="ListParagraph"/>
        <w:numPr>
          <w:ilvl w:val="1"/>
          <w:numId w:val="1"/>
        </w:numPr>
        <w:ind w:left="1440"/>
        <w:jc w:val="both"/>
      </w:pPr>
      <w:r>
        <w:lastRenderedPageBreak/>
        <w:t>Expenses will not be paid unless supporting evidence is provided, together with a completed expense claim form. This should include original receipts or invoices with the date and time of the payment.</w:t>
      </w:r>
    </w:p>
    <w:p w14:paraId="75A8E184" w14:textId="77777777" w:rsidR="000F2AE5" w:rsidRDefault="000F2AE5" w:rsidP="000F2AE5">
      <w:pPr>
        <w:pStyle w:val="ListParagraph"/>
        <w:ind w:left="1440"/>
        <w:jc w:val="both"/>
      </w:pPr>
    </w:p>
    <w:p w14:paraId="0C15138B" w14:textId="09A72038" w:rsidR="00B8016C" w:rsidRPr="000C040D" w:rsidRDefault="00B8016C" w:rsidP="00317416">
      <w:pPr>
        <w:pStyle w:val="ListParagraph"/>
        <w:numPr>
          <w:ilvl w:val="0"/>
          <w:numId w:val="1"/>
        </w:numPr>
        <w:jc w:val="both"/>
        <w:rPr>
          <w:b/>
          <w:bCs/>
        </w:rPr>
      </w:pPr>
      <w:r w:rsidRPr="000C040D">
        <w:rPr>
          <w:b/>
          <w:bCs/>
        </w:rPr>
        <w:t>Failure to Comply with the Policy</w:t>
      </w:r>
    </w:p>
    <w:p w14:paraId="7D265FB1" w14:textId="77777777" w:rsidR="00B8016C" w:rsidRPr="00D332CC" w:rsidRDefault="00B8016C" w:rsidP="00B8016C">
      <w:pPr>
        <w:pStyle w:val="ListParagraph"/>
        <w:jc w:val="both"/>
        <w:rPr>
          <w:b/>
          <w:bCs/>
        </w:rPr>
      </w:pPr>
    </w:p>
    <w:p w14:paraId="26A7A32C" w14:textId="00A14B8D" w:rsidR="004E61C3" w:rsidRDefault="004E61C3" w:rsidP="00317416">
      <w:pPr>
        <w:pStyle w:val="ListParagraph"/>
        <w:numPr>
          <w:ilvl w:val="1"/>
          <w:numId w:val="1"/>
        </w:numPr>
        <w:ind w:left="1440"/>
        <w:jc w:val="both"/>
      </w:pPr>
      <w:r>
        <w:t xml:space="preserve">The Council emphasises that under </w:t>
      </w:r>
      <w:hyperlink r:id="rId16" w:history="1">
        <w:r w:rsidRPr="00827E8F">
          <w:rPr>
            <w:rStyle w:val="Hyperlink"/>
          </w:rPr>
          <w:t>the Health and Safety at Work Act</w:t>
        </w:r>
      </w:hyperlink>
      <w:r>
        <w:t>, it is an offence to interfere with</w:t>
      </w:r>
      <w:r w:rsidR="00590F85">
        <w:t xml:space="preserve"> </w:t>
      </w:r>
      <w:r>
        <w:t>or misuse</w:t>
      </w:r>
      <w:r w:rsidR="00590F85">
        <w:t xml:space="preserve"> any equipment or measures provided in the interest of health and safety</w:t>
      </w:r>
      <w:r>
        <w:t>.</w:t>
      </w:r>
    </w:p>
    <w:p w14:paraId="65D08F01" w14:textId="31816B7D" w:rsidR="00590F85" w:rsidRDefault="00590F85" w:rsidP="00317416">
      <w:pPr>
        <w:pStyle w:val="ListParagraph"/>
        <w:numPr>
          <w:ilvl w:val="1"/>
          <w:numId w:val="1"/>
        </w:numPr>
        <w:ind w:left="1440"/>
        <w:jc w:val="both"/>
      </w:pPr>
      <w:r>
        <w:t xml:space="preserve">Any officer who fails to follow this policy for expense claims, or who misuses the Policy in any way (including submitting false claims, receipts, may be subject to a thorough investigation, and treated as a </w:t>
      </w:r>
      <w:r w:rsidR="00051432" w:rsidRPr="00D332CC">
        <w:t xml:space="preserve">serious matter. </w:t>
      </w:r>
    </w:p>
    <w:p w14:paraId="17CBDC38" w14:textId="432ECE41" w:rsidR="00AB5381" w:rsidRDefault="00590F85" w:rsidP="00317416">
      <w:pPr>
        <w:pStyle w:val="ListParagraph"/>
        <w:numPr>
          <w:ilvl w:val="1"/>
          <w:numId w:val="1"/>
        </w:numPr>
        <w:ind w:left="1440"/>
        <w:jc w:val="both"/>
      </w:pPr>
      <w:r>
        <w:t>In such cases, all related expenses and/or claims will be considered</w:t>
      </w:r>
      <w:r w:rsidRPr="00590F85">
        <w:t xml:space="preserve"> unauthorised and will not be reimbursed.</w:t>
      </w:r>
    </w:p>
    <w:p w14:paraId="4D08BE83" w14:textId="77777777" w:rsidR="002A0007" w:rsidRPr="002A0007" w:rsidRDefault="002A0007" w:rsidP="002A0007">
      <w:pPr>
        <w:pStyle w:val="ListParagraph"/>
        <w:ind w:left="1440"/>
        <w:jc w:val="both"/>
      </w:pPr>
    </w:p>
    <w:p w14:paraId="23493734" w14:textId="311A7B32" w:rsidR="000A7642" w:rsidRPr="000C040D" w:rsidRDefault="00CE0F8F" w:rsidP="00317416">
      <w:pPr>
        <w:pStyle w:val="ListParagraph"/>
        <w:numPr>
          <w:ilvl w:val="0"/>
          <w:numId w:val="1"/>
        </w:numPr>
        <w:jc w:val="both"/>
        <w:rPr>
          <w:b/>
          <w:bCs/>
        </w:rPr>
      </w:pPr>
      <w:r w:rsidRPr="000C040D">
        <w:rPr>
          <w:b/>
          <w:bCs/>
        </w:rPr>
        <w:t>Further Support</w:t>
      </w:r>
    </w:p>
    <w:p w14:paraId="0FA60EE6" w14:textId="77777777" w:rsidR="00A87F8F" w:rsidRPr="00CE0F8F" w:rsidRDefault="00A87F8F" w:rsidP="00A87F8F">
      <w:pPr>
        <w:pStyle w:val="ListParagraph"/>
        <w:jc w:val="both"/>
        <w:rPr>
          <w:b/>
          <w:bCs/>
        </w:rPr>
      </w:pPr>
    </w:p>
    <w:p w14:paraId="5985D574" w14:textId="1CF85D90" w:rsidR="000A7642" w:rsidRPr="00575597" w:rsidRDefault="00345687" w:rsidP="00317416">
      <w:pPr>
        <w:pStyle w:val="ListParagraph"/>
        <w:numPr>
          <w:ilvl w:val="1"/>
          <w:numId w:val="1"/>
        </w:numPr>
        <w:ind w:left="1440"/>
        <w:jc w:val="both"/>
      </w:pPr>
      <w:r>
        <w:t>Officers may seek further advice and assistance from the HR &amp; OD Manager, if they continue to experience health issues linked to their DSE work, despite the support provided under this policy</w:t>
      </w:r>
      <w:r w:rsidR="00B32BFD">
        <w:t>.</w:t>
      </w:r>
    </w:p>
    <w:sectPr w:rsidR="000A7642" w:rsidRPr="00575597">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2557" w14:textId="77777777" w:rsidR="00F34385" w:rsidRPr="00466443" w:rsidRDefault="00F34385" w:rsidP="0040382D">
      <w:pPr>
        <w:spacing w:after="0" w:line="240" w:lineRule="auto"/>
      </w:pPr>
      <w:r w:rsidRPr="00466443">
        <w:separator/>
      </w:r>
    </w:p>
  </w:endnote>
  <w:endnote w:type="continuationSeparator" w:id="0">
    <w:p w14:paraId="27C47246" w14:textId="77777777" w:rsidR="00F34385" w:rsidRPr="00466443" w:rsidRDefault="00F34385" w:rsidP="0040382D">
      <w:pPr>
        <w:spacing w:after="0" w:line="240" w:lineRule="auto"/>
      </w:pPr>
      <w:r w:rsidRPr="00466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475773"/>
      <w:docPartObj>
        <w:docPartGallery w:val="Page Numbers (Bottom of Page)"/>
        <w:docPartUnique/>
      </w:docPartObj>
    </w:sdtPr>
    <w:sdtContent>
      <w:p w14:paraId="06B4BCF7" w14:textId="12037C32" w:rsidR="003E55A6" w:rsidRPr="00466443" w:rsidRDefault="003E55A6">
        <w:pPr>
          <w:pStyle w:val="Footer"/>
          <w:jc w:val="right"/>
        </w:pPr>
        <w:r w:rsidRPr="00466443">
          <w:fldChar w:fldCharType="begin"/>
        </w:r>
        <w:r w:rsidRPr="00466443">
          <w:instrText xml:space="preserve"> PAGE   \* MERGEFORMAT </w:instrText>
        </w:r>
        <w:r w:rsidRPr="00466443">
          <w:fldChar w:fldCharType="separate"/>
        </w:r>
        <w:r w:rsidRPr="00466443">
          <w:t>2</w:t>
        </w:r>
        <w:r w:rsidRPr="00466443">
          <w:fldChar w:fldCharType="end"/>
        </w:r>
      </w:p>
    </w:sdtContent>
  </w:sdt>
  <w:p w14:paraId="7C436461" w14:textId="77777777" w:rsidR="003E55A6" w:rsidRPr="00466443" w:rsidRDefault="003E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90E4" w14:textId="77777777" w:rsidR="00F34385" w:rsidRPr="00466443" w:rsidRDefault="00F34385" w:rsidP="0040382D">
      <w:pPr>
        <w:spacing w:after="0" w:line="240" w:lineRule="auto"/>
      </w:pPr>
      <w:r w:rsidRPr="00466443">
        <w:separator/>
      </w:r>
    </w:p>
  </w:footnote>
  <w:footnote w:type="continuationSeparator" w:id="0">
    <w:p w14:paraId="5B56FBE3" w14:textId="77777777" w:rsidR="00F34385" w:rsidRPr="00466443" w:rsidRDefault="00F34385" w:rsidP="0040382D">
      <w:pPr>
        <w:spacing w:after="0" w:line="240" w:lineRule="auto"/>
      </w:pPr>
      <w:r w:rsidRPr="00466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8986" w14:textId="54FC7769" w:rsidR="00DC32BE" w:rsidRPr="00DC32BE" w:rsidRDefault="00DC32BE" w:rsidP="00EA4E5B">
    <w:pPr>
      <w:pStyle w:val="Header"/>
      <w:jc w:val="right"/>
      <w:rPr>
        <w:rFonts w:asciiTheme="minorHAnsi" w:hAnsiTheme="minorHAns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334"/>
    <w:multiLevelType w:val="hybridMultilevel"/>
    <w:tmpl w:val="A9A845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C036295"/>
    <w:multiLevelType w:val="hybridMultilevel"/>
    <w:tmpl w:val="94E6CD76"/>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403D36B9"/>
    <w:multiLevelType w:val="multilevel"/>
    <w:tmpl w:val="775C74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FD596D"/>
    <w:multiLevelType w:val="hybridMultilevel"/>
    <w:tmpl w:val="CA4A07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74C75781"/>
    <w:multiLevelType w:val="hybridMultilevel"/>
    <w:tmpl w:val="FC38A010"/>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7DB607B4"/>
    <w:multiLevelType w:val="hybridMultilevel"/>
    <w:tmpl w:val="91D2B1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8138632">
    <w:abstractNumId w:val="2"/>
  </w:num>
  <w:num w:numId="2" w16cid:durableId="318968602">
    <w:abstractNumId w:val="5"/>
  </w:num>
  <w:num w:numId="3" w16cid:durableId="517894277">
    <w:abstractNumId w:val="4"/>
  </w:num>
  <w:num w:numId="4" w16cid:durableId="2098548974">
    <w:abstractNumId w:val="3"/>
  </w:num>
  <w:num w:numId="5" w16cid:durableId="100298836">
    <w:abstractNumId w:val="1"/>
  </w:num>
  <w:num w:numId="6" w16cid:durableId="116354794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3D"/>
    <w:rsid w:val="00001834"/>
    <w:rsid w:val="00006806"/>
    <w:rsid w:val="00006C2C"/>
    <w:rsid w:val="00011FE7"/>
    <w:rsid w:val="000144BB"/>
    <w:rsid w:val="00016D86"/>
    <w:rsid w:val="000176F3"/>
    <w:rsid w:val="00023790"/>
    <w:rsid w:val="00024C3D"/>
    <w:rsid w:val="00024FAB"/>
    <w:rsid w:val="00035D4B"/>
    <w:rsid w:val="0003714F"/>
    <w:rsid w:val="00037A5B"/>
    <w:rsid w:val="000402C7"/>
    <w:rsid w:val="000433DA"/>
    <w:rsid w:val="000478AE"/>
    <w:rsid w:val="00051432"/>
    <w:rsid w:val="000516F7"/>
    <w:rsid w:val="00051C9D"/>
    <w:rsid w:val="00052A74"/>
    <w:rsid w:val="00056EC2"/>
    <w:rsid w:val="0006205B"/>
    <w:rsid w:val="000648BD"/>
    <w:rsid w:val="00067327"/>
    <w:rsid w:val="00067C4F"/>
    <w:rsid w:val="0007003F"/>
    <w:rsid w:val="00072AF9"/>
    <w:rsid w:val="000805A4"/>
    <w:rsid w:val="00085F74"/>
    <w:rsid w:val="000876A8"/>
    <w:rsid w:val="00092465"/>
    <w:rsid w:val="000960EC"/>
    <w:rsid w:val="000A0363"/>
    <w:rsid w:val="000A1A13"/>
    <w:rsid w:val="000A7642"/>
    <w:rsid w:val="000B0B42"/>
    <w:rsid w:val="000B1569"/>
    <w:rsid w:val="000B284A"/>
    <w:rsid w:val="000B2AD6"/>
    <w:rsid w:val="000B6F02"/>
    <w:rsid w:val="000C040D"/>
    <w:rsid w:val="000C1E7F"/>
    <w:rsid w:val="000C4EAA"/>
    <w:rsid w:val="000C5A52"/>
    <w:rsid w:val="000C78CC"/>
    <w:rsid w:val="000D0ECA"/>
    <w:rsid w:val="000D234E"/>
    <w:rsid w:val="000E1E50"/>
    <w:rsid w:val="000E2342"/>
    <w:rsid w:val="000E2721"/>
    <w:rsid w:val="000E79E8"/>
    <w:rsid w:val="000F11D2"/>
    <w:rsid w:val="000F25A7"/>
    <w:rsid w:val="000F2AE5"/>
    <w:rsid w:val="000F504D"/>
    <w:rsid w:val="000F754E"/>
    <w:rsid w:val="001066E8"/>
    <w:rsid w:val="00112B2F"/>
    <w:rsid w:val="00112D84"/>
    <w:rsid w:val="0011497B"/>
    <w:rsid w:val="0011572F"/>
    <w:rsid w:val="001254DD"/>
    <w:rsid w:val="00131983"/>
    <w:rsid w:val="00133CF5"/>
    <w:rsid w:val="00135797"/>
    <w:rsid w:val="001440D8"/>
    <w:rsid w:val="00144EB8"/>
    <w:rsid w:val="00145625"/>
    <w:rsid w:val="00151515"/>
    <w:rsid w:val="0015282E"/>
    <w:rsid w:val="00152E4F"/>
    <w:rsid w:val="00155F72"/>
    <w:rsid w:val="001606AC"/>
    <w:rsid w:val="001635D4"/>
    <w:rsid w:val="00163AFD"/>
    <w:rsid w:val="001640D3"/>
    <w:rsid w:val="001664B2"/>
    <w:rsid w:val="001678A4"/>
    <w:rsid w:val="001715A5"/>
    <w:rsid w:val="00180A1F"/>
    <w:rsid w:val="001835A1"/>
    <w:rsid w:val="00184EAA"/>
    <w:rsid w:val="00190F47"/>
    <w:rsid w:val="00193898"/>
    <w:rsid w:val="00193ED9"/>
    <w:rsid w:val="00195397"/>
    <w:rsid w:val="00196B2F"/>
    <w:rsid w:val="001A3B57"/>
    <w:rsid w:val="001A791B"/>
    <w:rsid w:val="001B36F3"/>
    <w:rsid w:val="001C0B8A"/>
    <w:rsid w:val="001C2427"/>
    <w:rsid w:val="001C28AC"/>
    <w:rsid w:val="001D2173"/>
    <w:rsid w:val="001D317C"/>
    <w:rsid w:val="001D4454"/>
    <w:rsid w:val="001D44A4"/>
    <w:rsid w:val="001D50B2"/>
    <w:rsid w:val="001E7849"/>
    <w:rsid w:val="001F20F0"/>
    <w:rsid w:val="001F6171"/>
    <w:rsid w:val="001F68E5"/>
    <w:rsid w:val="00205E36"/>
    <w:rsid w:val="00212CB5"/>
    <w:rsid w:val="00213915"/>
    <w:rsid w:val="002170B7"/>
    <w:rsid w:val="00224808"/>
    <w:rsid w:val="00226FD5"/>
    <w:rsid w:val="0023056A"/>
    <w:rsid w:val="002327D1"/>
    <w:rsid w:val="002340DE"/>
    <w:rsid w:val="002434DF"/>
    <w:rsid w:val="00246416"/>
    <w:rsid w:val="00246E1F"/>
    <w:rsid w:val="00247E9B"/>
    <w:rsid w:val="00251AD6"/>
    <w:rsid w:val="00251AFA"/>
    <w:rsid w:val="00253CBB"/>
    <w:rsid w:val="00254184"/>
    <w:rsid w:val="00256A2E"/>
    <w:rsid w:val="00256B31"/>
    <w:rsid w:val="002618EA"/>
    <w:rsid w:val="00261CBD"/>
    <w:rsid w:val="00263334"/>
    <w:rsid w:val="00263615"/>
    <w:rsid w:val="00263868"/>
    <w:rsid w:val="002672AA"/>
    <w:rsid w:val="002675BD"/>
    <w:rsid w:val="00267DA9"/>
    <w:rsid w:val="00272BEE"/>
    <w:rsid w:val="002774D1"/>
    <w:rsid w:val="002821E8"/>
    <w:rsid w:val="002839F9"/>
    <w:rsid w:val="00283FCF"/>
    <w:rsid w:val="0029191A"/>
    <w:rsid w:val="002940EF"/>
    <w:rsid w:val="00295662"/>
    <w:rsid w:val="0029654A"/>
    <w:rsid w:val="002A0007"/>
    <w:rsid w:val="002A403D"/>
    <w:rsid w:val="002B23C6"/>
    <w:rsid w:val="002B55A5"/>
    <w:rsid w:val="002B609A"/>
    <w:rsid w:val="002B71AF"/>
    <w:rsid w:val="002C0057"/>
    <w:rsid w:val="002C1D31"/>
    <w:rsid w:val="002C54F5"/>
    <w:rsid w:val="002C6494"/>
    <w:rsid w:val="002C71F9"/>
    <w:rsid w:val="002E2BAB"/>
    <w:rsid w:val="002E380D"/>
    <w:rsid w:val="002E500B"/>
    <w:rsid w:val="00302917"/>
    <w:rsid w:val="00305FF1"/>
    <w:rsid w:val="003070F8"/>
    <w:rsid w:val="0031023B"/>
    <w:rsid w:val="00310F44"/>
    <w:rsid w:val="00311497"/>
    <w:rsid w:val="00312681"/>
    <w:rsid w:val="00312F24"/>
    <w:rsid w:val="0031302E"/>
    <w:rsid w:val="003152DA"/>
    <w:rsid w:val="00315614"/>
    <w:rsid w:val="00315A19"/>
    <w:rsid w:val="0031616C"/>
    <w:rsid w:val="00317416"/>
    <w:rsid w:val="00317CA5"/>
    <w:rsid w:val="00321C21"/>
    <w:rsid w:val="0032461A"/>
    <w:rsid w:val="0033204E"/>
    <w:rsid w:val="00332F11"/>
    <w:rsid w:val="003345AA"/>
    <w:rsid w:val="00335CEF"/>
    <w:rsid w:val="003408F3"/>
    <w:rsid w:val="0034098D"/>
    <w:rsid w:val="00345687"/>
    <w:rsid w:val="0034736B"/>
    <w:rsid w:val="00350BAF"/>
    <w:rsid w:val="00351486"/>
    <w:rsid w:val="00353C5E"/>
    <w:rsid w:val="003552D5"/>
    <w:rsid w:val="0035556A"/>
    <w:rsid w:val="00375ABA"/>
    <w:rsid w:val="00376711"/>
    <w:rsid w:val="003770C2"/>
    <w:rsid w:val="0038163E"/>
    <w:rsid w:val="003834D5"/>
    <w:rsid w:val="00390991"/>
    <w:rsid w:val="00390BDB"/>
    <w:rsid w:val="003913E9"/>
    <w:rsid w:val="0039227A"/>
    <w:rsid w:val="003A3738"/>
    <w:rsid w:val="003A3D63"/>
    <w:rsid w:val="003A7319"/>
    <w:rsid w:val="003A7351"/>
    <w:rsid w:val="003B27B8"/>
    <w:rsid w:val="003B610D"/>
    <w:rsid w:val="003B638D"/>
    <w:rsid w:val="003C2B33"/>
    <w:rsid w:val="003C47B2"/>
    <w:rsid w:val="003C5678"/>
    <w:rsid w:val="003C57A5"/>
    <w:rsid w:val="003D0CC3"/>
    <w:rsid w:val="003D22CC"/>
    <w:rsid w:val="003D4BD1"/>
    <w:rsid w:val="003D66CF"/>
    <w:rsid w:val="003D6B88"/>
    <w:rsid w:val="003E0B3C"/>
    <w:rsid w:val="003E55A6"/>
    <w:rsid w:val="003E6103"/>
    <w:rsid w:val="003F1857"/>
    <w:rsid w:val="003F448B"/>
    <w:rsid w:val="003F5A9D"/>
    <w:rsid w:val="003F6A90"/>
    <w:rsid w:val="00401274"/>
    <w:rsid w:val="0040382D"/>
    <w:rsid w:val="00411491"/>
    <w:rsid w:val="004165E2"/>
    <w:rsid w:val="00416876"/>
    <w:rsid w:val="0042125E"/>
    <w:rsid w:val="0042136C"/>
    <w:rsid w:val="00423722"/>
    <w:rsid w:val="00430028"/>
    <w:rsid w:val="00431EB7"/>
    <w:rsid w:val="004375C9"/>
    <w:rsid w:val="00440BCF"/>
    <w:rsid w:val="00441F3B"/>
    <w:rsid w:val="004520F2"/>
    <w:rsid w:val="0045268C"/>
    <w:rsid w:val="0045396A"/>
    <w:rsid w:val="00453994"/>
    <w:rsid w:val="00454408"/>
    <w:rsid w:val="004548D4"/>
    <w:rsid w:val="00457310"/>
    <w:rsid w:val="004611C6"/>
    <w:rsid w:val="0046228E"/>
    <w:rsid w:val="00463073"/>
    <w:rsid w:val="0046519D"/>
    <w:rsid w:val="00465CF6"/>
    <w:rsid w:val="00466443"/>
    <w:rsid w:val="00467627"/>
    <w:rsid w:val="00467EBD"/>
    <w:rsid w:val="00474E50"/>
    <w:rsid w:val="00475EEC"/>
    <w:rsid w:val="00477345"/>
    <w:rsid w:val="00477E5F"/>
    <w:rsid w:val="00481051"/>
    <w:rsid w:val="004869D4"/>
    <w:rsid w:val="00486BA5"/>
    <w:rsid w:val="00487A3F"/>
    <w:rsid w:val="00492C73"/>
    <w:rsid w:val="00495199"/>
    <w:rsid w:val="004955BA"/>
    <w:rsid w:val="004A3803"/>
    <w:rsid w:val="004A46BA"/>
    <w:rsid w:val="004A5F91"/>
    <w:rsid w:val="004B7138"/>
    <w:rsid w:val="004B7148"/>
    <w:rsid w:val="004C2BB0"/>
    <w:rsid w:val="004C5B20"/>
    <w:rsid w:val="004C6E1C"/>
    <w:rsid w:val="004D2A17"/>
    <w:rsid w:val="004D2F7A"/>
    <w:rsid w:val="004D5C2D"/>
    <w:rsid w:val="004E61C3"/>
    <w:rsid w:val="004F09B0"/>
    <w:rsid w:val="004F0C1F"/>
    <w:rsid w:val="004F1921"/>
    <w:rsid w:val="004F374D"/>
    <w:rsid w:val="004F5465"/>
    <w:rsid w:val="004F67CF"/>
    <w:rsid w:val="004F6F6C"/>
    <w:rsid w:val="0050000F"/>
    <w:rsid w:val="0050327F"/>
    <w:rsid w:val="005075D8"/>
    <w:rsid w:val="00507C5B"/>
    <w:rsid w:val="00521DCD"/>
    <w:rsid w:val="00522BE4"/>
    <w:rsid w:val="00522C73"/>
    <w:rsid w:val="00523C67"/>
    <w:rsid w:val="005257F6"/>
    <w:rsid w:val="00534561"/>
    <w:rsid w:val="005404B6"/>
    <w:rsid w:val="00541C6B"/>
    <w:rsid w:val="005428D1"/>
    <w:rsid w:val="00546363"/>
    <w:rsid w:val="00556385"/>
    <w:rsid w:val="00560B57"/>
    <w:rsid w:val="00562ABC"/>
    <w:rsid w:val="0056461A"/>
    <w:rsid w:val="005654CF"/>
    <w:rsid w:val="00565B85"/>
    <w:rsid w:val="00565B95"/>
    <w:rsid w:val="00566568"/>
    <w:rsid w:val="00570638"/>
    <w:rsid w:val="0057165E"/>
    <w:rsid w:val="00575597"/>
    <w:rsid w:val="00575B18"/>
    <w:rsid w:val="00590F85"/>
    <w:rsid w:val="0059174E"/>
    <w:rsid w:val="005925EA"/>
    <w:rsid w:val="005930F2"/>
    <w:rsid w:val="00593A26"/>
    <w:rsid w:val="00594614"/>
    <w:rsid w:val="00596578"/>
    <w:rsid w:val="005A686A"/>
    <w:rsid w:val="005B415A"/>
    <w:rsid w:val="005B6574"/>
    <w:rsid w:val="005C1292"/>
    <w:rsid w:val="005C5239"/>
    <w:rsid w:val="005C58F1"/>
    <w:rsid w:val="005D6502"/>
    <w:rsid w:val="005E3D5D"/>
    <w:rsid w:val="005E56D0"/>
    <w:rsid w:val="005E5C02"/>
    <w:rsid w:val="005E6780"/>
    <w:rsid w:val="005F23F7"/>
    <w:rsid w:val="005F3DE5"/>
    <w:rsid w:val="005F474A"/>
    <w:rsid w:val="00601E1E"/>
    <w:rsid w:val="00603FCB"/>
    <w:rsid w:val="00605392"/>
    <w:rsid w:val="00612758"/>
    <w:rsid w:val="00613ACB"/>
    <w:rsid w:val="006146F3"/>
    <w:rsid w:val="00620B69"/>
    <w:rsid w:val="00623D73"/>
    <w:rsid w:val="006240F4"/>
    <w:rsid w:val="0062678C"/>
    <w:rsid w:val="00627053"/>
    <w:rsid w:val="00630AF9"/>
    <w:rsid w:val="00632E45"/>
    <w:rsid w:val="00633741"/>
    <w:rsid w:val="006347B6"/>
    <w:rsid w:val="006433DA"/>
    <w:rsid w:val="00645615"/>
    <w:rsid w:val="00645FA1"/>
    <w:rsid w:val="006473C9"/>
    <w:rsid w:val="00663A4E"/>
    <w:rsid w:val="0067371B"/>
    <w:rsid w:val="00673AA6"/>
    <w:rsid w:val="00674205"/>
    <w:rsid w:val="00681DB8"/>
    <w:rsid w:val="00692EA9"/>
    <w:rsid w:val="00696C1F"/>
    <w:rsid w:val="006A3612"/>
    <w:rsid w:val="006A4B93"/>
    <w:rsid w:val="006A7263"/>
    <w:rsid w:val="006A7928"/>
    <w:rsid w:val="006A7A23"/>
    <w:rsid w:val="006B1882"/>
    <w:rsid w:val="006B1E43"/>
    <w:rsid w:val="006B4107"/>
    <w:rsid w:val="006B5087"/>
    <w:rsid w:val="006B5776"/>
    <w:rsid w:val="006C0096"/>
    <w:rsid w:val="006C198E"/>
    <w:rsid w:val="006C456E"/>
    <w:rsid w:val="006D2E2D"/>
    <w:rsid w:val="006E17D2"/>
    <w:rsid w:val="006F0719"/>
    <w:rsid w:val="006F18E7"/>
    <w:rsid w:val="006F23B3"/>
    <w:rsid w:val="006F339D"/>
    <w:rsid w:val="006F4BB4"/>
    <w:rsid w:val="006F524A"/>
    <w:rsid w:val="006F7439"/>
    <w:rsid w:val="007008DD"/>
    <w:rsid w:val="00702267"/>
    <w:rsid w:val="00704D72"/>
    <w:rsid w:val="00706F3A"/>
    <w:rsid w:val="00710FDE"/>
    <w:rsid w:val="00711171"/>
    <w:rsid w:val="00711943"/>
    <w:rsid w:val="00715972"/>
    <w:rsid w:val="00717A3D"/>
    <w:rsid w:val="00723FC7"/>
    <w:rsid w:val="0072510F"/>
    <w:rsid w:val="00731057"/>
    <w:rsid w:val="007311A8"/>
    <w:rsid w:val="00734431"/>
    <w:rsid w:val="007357F8"/>
    <w:rsid w:val="007502B4"/>
    <w:rsid w:val="0075038C"/>
    <w:rsid w:val="00755D2C"/>
    <w:rsid w:val="0075670B"/>
    <w:rsid w:val="00757029"/>
    <w:rsid w:val="0076041E"/>
    <w:rsid w:val="00776466"/>
    <w:rsid w:val="00780927"/>
    <w:rsid w:val="00782B84"/>
    <w:rsid w:val="00785FEB"/>
    <w:rsid w:val="007879F9"/>
    <w:rsid w:val="007A21BD"/>
    <w:rsid w:val="007A44E0"/>
    <w:rsid w:val="007A6336"/>
    <w:rsid w:val="007A7949"/>
    <w:rsid w:val="007B0D4F"/>
    <w:rsid w:val="007C35A4"/>
    <w:rsid w:val="007C4F98"/>
    <w:rsid w:val="007C5F2C"/>
    <w:rsid w:val="007D1554"/>
    <w:rsid w:val="007D2F23"/>
    <w:rsid w:val="007E20F1"/>
    <w:rsid w:val="007E2B45"/>
    <w:rsid w:val="007E4AEC"/>
    <w:rsid w:val="007E5F63"/>
    <w:rsid w:val="007E6F54"/>
    <w:rsid w:val="007E7876"/>
    <w:rsid w:val="007F2ED9"/>
    <w:rsid w:val="007F2F93"/>
    <w:rsid w:val="007F35BF"/>
    <w:rsid w:val="007F4331"/>
    <w:rsid w:val="007F53AC"/>
    <w:rsid w:val="007F730C"/>
    <w:rsid w:val="00801CA1"/>
    <w:rsid w:val="00810B26"/>
    <w:rsid w:val="00812EFD"/>
    <w:rsid w:val="00821A8E"/>
    <w:rsid w:val="00827E8F"/>
    <w:rsid w:val="00833DFF"/>
    <w:rsid w:val="00835122"/>
    <w:rsid w:val="0084221D"/>
    <w:rsid w:val="00845B2D"/>
    <w:rsid w:val="008520D7"/>
    <w:rsid w:val="00854D2B"/>
    <w:rsid w:val="00857194"/>
    <w:rsid w:val="00860857"/>
    <w:rsid w:val="00860977"/>
    <w:rsid w:val="00867C12"/>
    <w:rsid w:val="00873E1E"/>
    <w:rsid w:val="008757FF"/>
    <w:rsid w:val="00877C84"/>
    <w:rsid w:val="00882514"/>
    <w:rsid w:val="0088467A"/>
    <w:rsid w:val="0088797D"/>
    <w:rsid w:val="00887A1A"/>
    <w:rsid w:val="00890838"/>
    <w:rsid w:val="00892FDE"/>
    <w:rsid w:val="00896AD5"/>
    <w:rsid w:val="008A1E5C"/>
    <w:rsid w:val="008A5135"/>
    <w:rsid w:val="008A6DDE"/>
    <w:rsid w:val="008A759A"/>
    <w:rsid w:val="008B043B"/>
    <w:rsid w:val="008B1901"/>
    <w:rsid w:val="008B3DCF"/>
    <w:rsid w:val="008B5570"/>
    <w:rsid w:val="008B724E"/>
    <w:rsid w:val="008B75DD"/>
    <w:rsid w:val="008B76FD"/>
    <w:rsid w:val="008C1C15"/>
    <w:rsid w:val="008C2428"/>
    <w:rsid w:val="008C46CE"/>
    <w:rsid w:val="008D1D2D"/>
    <w:rsid w:val="008D260B"/>
    <w:rsid w:val="008D2CDB"/>
    <w:rsid w:val="008D4385"/>
    <w:rsid w:val="008D7A0A"/>
    <w:rsid w:val="008E2045"/>
    <w:rsid w:val="008F0F95"/>
    <w:rsid w:val="008F53D8"/>
    <w:rsid w:val="008F71DB"/>
    <w:rsid w:val="008F7279"/>
    <w:rsid w:val="00900279"/>
    <w:rsid w:val="0090413F"/>
    <w:rsid w:val="009050CE"/>
    <w:rsid w:val="00906CDB"/>
    <w:rsid w:val="009165E8"/>
    <w:rsid w:val="009174A0"/>
    <w:rsid w:val="00921F8D"/>
    <w:rsid w:val="00930DCB"/>
    <w:rsid w:val="00934CEC"/>
    <w:rsid w:val="009379B1"/>
    <w:rsid w:val="00940CB4"/>
    <w:rsid w:val="0094135E"/>
    <w:rsid w:val="00945BDB"/>
    <w:rsid w:val="00954320"/>
    <w:rsid w:val="00960D81"/>
    <w:rsid w:val="00961D5D"/>
    <w:rsid w:val="00965D1E"/>
    <w:rsid w:val="0097038F"/>
    <w:rsid w:val="0097217E"/>
    <w:rsid w:val="00972EA2"/>
    <w:rsid w:val="00973138"/>
    <w:rsid w:val="00975EEB"/>
    <w:rsid w:val="00977C6F"/>
    <w:rsid w:val="00987AE3"/>
    <w:rsid w:val="009917E3"/>
    <w:rsid w:val="00992CC0"/>
    <w:rsid w:val="0099392A"/>
    <w:rsid w:val="00997FBC"/>
    <w:rsid w:val="009A0EDF"/>
    <w:rsid w:val="009A1931"/>
    <w:rsid w:val="009B0717"/>
    <w:rsid w:val="009B0D30"/>
    <w:rsid w:val="009B110D"/>
    <w:rsid w:val="009B2C23"/>
    <w:rsid w:val="009B6684"/>
    <w:rsid w:val="009B6C1B"/>
    <w:rsid w:val="009B7559"/>
    <w:rsid w:val="009D00C1"/>
    <w:rsid w:val="009D1B78"/>
    <w:rsid w:val="009E18B5"/>
    <w:rsid w:val="009E4107"/>
    <w:rsid w:val="009E51EA"/>
    <w:rsid w:val="009E65C4"/>
    <w:rsid w:val="009F41CC"/>
    <w:rsid w:val="009F6DFC"/>
    <w:rsid w:val="00A0008E"/>
    <w:rsid w:val="00A07AD7"/>
    <w:rsid w:val="00A1563E"/>
    <w:rsid w:val="00A17909"/>
    <w:rsid w:val="00A20D16"/>
    <w:rsid w:val="00A21948"/>
    <w:rsid w:val="00A262C0"/>
    <w:rsid w:val="00A35EEB"/>
    <w:rsid w:val="00A404E0"/>
    <w:rsid w:val="00A40684"/>
    <w:rsid w:val="00A408C6"/>
    <w:rsid w:val="00A40DF2"/>
    <w:rsid w:val="00A44037"/>
    <w:rsid w:val="00A47506"/>
    <w:rsid w:val="00A50602"/>
    <w:rsid w:val="00A57465"/>
    <w:rsid w:val="00A63322"/>
    <w:rsid w:val="00A6408E"/>
    <w:rsid w:val="00A6605E"/>
    <w:rsid w:val="00A67A96"/>
    <w:rsid w:val="00A70209"/>
    <w:rsid w:val="00A7195D"/>
    <w:rsid w:val="00A75957"/>
    <w:rsid w:val="00A82D1A"/>
    <w:rsid w:val="00A87F8F"/>
    <w:rsid w:val="00A9199A"/>
    <w:rsid w:val="00A92C1B"/>
    <w:rsid w:val="00A95B62"/>
    <w:rsid w:val="00AA2607"/>
    <w:rsid w:val="00AA39C5"/>
    <w:rsid w:val="00AA426E"/>
    <w:rsid w:val="00AA47BC"/>
    <w:rsid w:val="00AB5381"/>
    <w:rsid w:val="00AB7F8E"/>
    <w:rsid w:val="00AC22C0"/>
    <w:rsid w:val="00AC31F3"/>
    <w:rsid w:val="00AC5352"/>
    <w:rsid w:val="00AD4A32"/>
    <w:rsid w:val="00AE077F"/>
    <w:rsid w:val="00AE4E33"/>
    <w:rsid w:val="00AE5960"/>
    <w:rsid w:val="00AE7C50"/>
    <w:rsid w:val="00AF4458"/>
    <w:rsid w:val="00AF7DBA"/>
    <w:rsid w:val="00B0387A"/>
    <w:rsid w:val="00B063A8"/>
    <w:rsid w:val="00B06504"/>
    <w:rsid w:val="00B104AD"/>
    <w:rsid w:val="00B174B9"/>
    <w:rsid w:val="00B21AA3"/>
    <w:rsid w:val="00B27E5B"/>
    <w:rsid w:val="00B3247E"/>
    <w:rsid w:val="00B32BFD"/>
    <w:rsid w:val="00B37DAE"/>
    <w:rsid w:val="00B43FE8"/>
    <w:rsid w:val="00B52934"/>
    <w:rsid w:val="00B719E5"/>
    <w:rsid w:val="00B71C3F"/>
    <w:rsid w:val="00B728D2"/>
    <w:rsid w:val="00B77B57"/>
    <w:rsid w:val="00B8016C"/>
    <w:rsid w:val="00B81EC6"/>
    <w:rsid w:val="00B82684"/>
    <w:rsid w:val="00B86D4D"/>
    <w:rsid w:val="00B93ED8"/>
    <w:rsid w:val="00B96EAC"/>
    <w:rsid w:val="00BA7DAC"/>
    <w:rsid w:val="00BB608F"/>
    <w:rsid w:val="00BC1D86"/>
    <w:rsid w:val="00BC3F1B"/>
    <w:rsid w:val="00BC7D14"/>
    <w:rsid w:val="00BD1210"/>
    <w:rsid w:val="00BD149A"/>
    <w:rsid w:val="00BD2821"/>
    <w:rsid w:val="00BD3063"/>
    <w:rsid w:val="00BD532F"/>
    <w:rsid w:val="00BD598E"/>
    <w:rsid w:val="00BD7991"/>
    <w:rsid w:val="00BD7D6C"/>
    <w:rsid w:val="00BE19B1"/>
    <w:rsid w:val="00BE4AF4"/>
    <w:rsid w:val="00BF049B"/>
    <w:rsid w:val="00BF70FF"/>
    <w:rsid w:val="00BF7A66"/>
    <w:rsid w:val="00C01FD8"/>
    <w:rsid w:val="00C1332A"/>
    <w:rsid w:val="00C13CA6"/>
    <w:rsid w:val="00C255D4"/>
    <w:rsid w:val="00C30DBB"/>
    <w:rsid w:val="00C35EFA"/>
    <w:rsid w:val="00C361C5"/>
    <w:rsid w:val="00C377B9"/>
    <w:rsid w:val="00C4110C"/>
    <w:rsid w:val="00C56915"/>
    <w:rsid w:val="00C62023"/>
    <w:rsid w:val="00C63E4A"/>
    <w:rsid w:val="00C6739B"/>
    <w:rsid w:val="00C67A9D"/>
    <w:rsid w:val="00C67AC0"/>
    <w:rsid w:val="00C752BE"/>
    <w:rsid w:val="00C83C5B"/>
    <w:rsid w:val="00C8523E"/>
    <w:rsid w:val="00C910E2"/>
    <w:rsid w:val="00C94838"/>
    <w:rsid w:val="00C95880"/>
    <w:rsid w:val="00CA02E8"/>
    <w:rsid w:val="00CA1049"/>
    <w:rsid w:val="00CA2FFA"/>
    <w:rsid w:val="00CA552B"/>
    <w:rsid w:val="00CA564D"/>
    <w:rsid w:val="00CA59BD"/>
    <w:rsid w:val="00CA7DDF"/>
    <w:rsid w:val="00CB0DE7"/>
    <w:rsid w:val="00CB2C0E"/>
    <w:rsid w:val="00CC42B4"/>
    <w:rsid w:val="00CC42C9"/>
    <w:rsid w:val="00CC63C8"/>
    <w:rsid w:val="00CD502B"/>
    <w:rsid w:val="00CD6BD2"/>
    <w:rsid w:val="00CE0F8F"/>
    <w:rsid w:val="00CE424A"/>
    <w:rsid w:val="00CE4D32"/>
    <w:rsid w:val="00CF5F9B"/>
    <w:rsid w:val="00CF66EE"/>
    <w:rsid w:val="00D04883"/>
    <w:rsid w:val="00D04C9C"/>
    <w:rsid w:val="00D0530B"/>
    <w:rsid w:val="00D07F0A"/>
    <w:rsid w:val="00D10A2B"/>
    <w:rsid w:val="00D13614"/>
    <w:rsid w:val="00D16E60"/>
    <w:rsid w:val="00D17A09"/>
    <w:rsid w:val="00D17A17"/>
    <w:rsid w:val="00D20A44"/>
    <w:rsid w:val="00D30441"/>
    <w:rsid w:val="00D332CC"/>
    <w:rsid w:val="00D33743"/>
    <w:rsid w:val="00D355CE"/>
    <w:rsid w:val="00D358F9"/>
    <w:rsid w:val="00D37595"/>
    <w:rsid w:val="00D402E8"/>
    <w:rsid w:val="00D40E84"/>
    <w:rsid w:val="00D4323B"/>
    <w:rsid w:val="00D52350"/>
    <w:rsid w:val="00D54F5A"/>
    <w:rsid w:val="00D57734"/>
    <w:rsid w:val="00D63499"/>
    <w:rsid w:val="00D664B5"/>
    <w:rsid w:val="00D70873"/>
    <w:rsid w:val="00D71566"/>
    <w:rsid w:val="00D80B58"/>
    <w:rsid w:val="00D90314"/>
    <w:rsid w:val="00D9191E"/>
    <w:rsid w:val="00D93C64"/>
    <w:rsid w:val="00D9794C"/>
    <w:rsid w:val="00D97ACC"/>
    <w:rsid w:val="00D97BC2"/>
    <w:rsid w:val="00DA6533"/>
    <w:rsid w:val="00DA6613"/>
    <w:rsid w:val="00DB36C7"/>
    <w:rsid w:val="00DB4A19"/>
    <w:rsid w:val="00DB5295"/>
    <w:rsid w:val="00DB5A01"/>
    <w:rsid w:val="00DB5D16"/>
    <w:rsid w:val="00DC13B8"/>
    <w:rsid w:val="00DC20C1"/>
    <w:rsid w:val="00DC32BE"/>
    <w:rsid w:val="00DC391D"/>
    <w:rsid w:val="00DC607A"/>
    <w:rsid w:val="00DD2AAB"/>
    <w:rsid w:val="00DE7F20"/>
    <w:rsid w:val="00DF2B52"/>
    <w:rsid w:val="00DF6A16"/>
    <w:rsid w:val="00E003CF"/>
    <w:rsid w:val="00E02530"/>
    <w:rsid w:val="00E05F67"/>
    <w:rsid w:val="00E12AB0"/>
    <w:rsid w:val="00E16A50"/>
    <w:rsid w:val="00E25056"/>
    <w:rsid w:val="00E2529A"/>
    <w:rsid w:val="00E3160F"/>
    <w:rsid w:val="00E32591"/>
    <w:rsid w:val="00E342DA"/>
    <w:rsid w:val="00E34870"/>
    <w:rsid w:val="00E40CE2"/>
    <w:rsid w:val="00E44397"/>
    <w:rsid w:val="00E50790"/>
    <w:rsid w:val="00E544C0"/>
    <w:rsid w:val="00E55DC8"/>
    <w:rsid w:val="00E57B6D"/>
    <w:rsid w:val="00E664DC"/>
    <w:rsid w:val="00E706A4"/>
    <w:rsid w:val="00E743C5"/>
    <w:rsid w:val="00E801E9"/>
    <w:rsid w:val="00E81941"/>
    <w:rsid w:val="00E81C0E"/>
    <w:rsid w:val="00E93E7A"/>
    <w:rsid w:val="00EA4CAE"/>
    <w:rsid w:val="00EA4E5B"/>
    <w:rsid w:val="00EA6857"/>
    <w:rsid w:val="00EA745A"/>
    <w:rsid w:val="00EC2692"/>
    <w:rsid w:val="00EC5866"/>
    <w:rsid w:val="00EC652E"/>
    <w:rsid w:val="00EC7455"/>
    <w:rsid w:val="00ED1FAA"/>
    <w:rsid w:val="00ED6FED"/>
    <w:rsid w:val="00EE4496"/>
    <w:rsid w:val="00EE4C59"/>
    <w:rsid w:val="00EE5051"/>
    <w:rsid w:val="00EE5E2F"/>
    <w:rsid w:val="00EF1B23"/>
    <w:rsid w:val="00F00D32"/>
    <w:rsid w:val="00F015E8"/>
    <w:rsid w:val="00F027C1"/>
    <w:rsid w:val="00F0406C"/>
    <w:rsid w:val="00F04AA4"/>
    <w:rsid w:val="00F07902"/>
    <w:rsid w:val="00F17B5C"/>
    <w:rsid w:val="00F17F49"/>
    <w:rsid w:val="00F34385"/>
    <w:rsid w:val="00F44B04"/>
    <w:rsid w:val="00F4768A"/>
    <w:rsid w:val="00F516A3"/>
    <w:rsid w:val="00F520C4"/>
    <w:rsid w:val="00F5652A"/>
    <w:rsid w:val="00F574F0"/>
    <w:rsid w:val="00F624B8"/>
    <w:rsid w:val="00F63DE8"/>
    <w:rsid w:val="00F67FA4"/>
    <w:rsid w:val="00F70C23"/>
    <w:rsid w:val="00F77ADE"/>
    <w:rsid w:val="00F827D5"/>
    <w:rsid w:val="00F876F4"/>
    <w:rsid w:val="00F90E68"/>
    <w:rsid w:val="00F92DC1"/>
    <w:rsid w:val="00F95B56"/>
    <w:rsid w:val="00F96453"/>
    <w:rsid w:val="00F96FA6"/>
    <w:rsid w:val="00FA1B68"/>
    <w:rsid w:val="00FA2F2E"/>
    <w:rsid w:val="00FA7B39"/>
    <w:rsid w:val="00FB2F6C"/>
    <w:rsid w:val="00FB638B"/>
    <w:rsid w:val="00FB6D84"/>
    <w:rsid w:val="00FC0E9E"/>
    <w:rsid w:val="00FC16B1"/>
    <w:rsid w:val="00FC1A2A"/>
    <w:rsid w:val="00FC1DEE"/>
    <w:rsid w:val="00FC2B31"/>
    <w:rsid w:val="00FC2E76"/>
    <w:rsid w:val="00FD0120"/>
    <w:rsid w:val="00FD0AC6"/>
    <w:rsid w:val="00FD121B"/>
    <w:rsid w:val="00FD2DDC"/>
    <w:rsid w:val="00FD47BD"/>
    <w:rsid w:val="00FE04EE"/>
    <w:rsid w:val="00FE1327"/>
    <w:rsid w:val="00FE2DBE"/>
    <w:rsid w:val="00FF07C6"/>
    <w:rsid w:val="00FF294A"/>
    <w:rsid w:val="00FF67FD"/>
    <w:rsid w:val="0321A5E3"/>
    <w:rsid w:val="1274F4FE"/>
    <w:rsid w:val="226AC14F"/>
    <w:rsid w:val="2441F1E3"/>
    <w:rsid w:val="2B157487"/>
    <w:rsid w:val="2F51CC77"/>
    <w:rsid w:val="3522DD09"/>
    <w:rsid w:val="46D6099D"/>
    <w:rsid w:val="565A1C74"/>
    <w:rsid w:val="61C70D7D"/>
    <w:rsid w:val="6409D4AB"/>
    <w:rsid w:val="70CEB324"/>
    <w:rsid w:val="73A684C0"/>
    <w:rsid w:val="73A86A9A"/>
    <w:rsid w:val="7687C1E2"/>
    <w:rsid w:val="7C114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79EC"/>
  <w15:chartTrackingRefBased/>
  <w15:docId w15:val="{464B2533-38B5-41D4-82F5-D45AAC6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A3D"/>
    <w:rPr>
      <w:rFonts w:eastAsiaTheme="majorEastAsia" w:cstheme="majorBidi"/>
      <w:color w:val="272727" w:themeColor="text1" w:themeTint="D8"/>
    </w:rPr>
  </w:style>
  <w:style w:type="paragraph" w:styleId="Title">
    <w:name w:val="Title"/>
    <w:basedOn w:val="Normal"/>
    <w:next w:val="Normal"/>
    <w:link w:val="TitleChar"/>
    <w:uiPriority w:val="10"/>
    <w:qFormat/>
    <w:rsid w:val="00717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3D"/>
    <w:pPr>
      <w:spacing w:before="160"/>
      <w:jc w:val="center"/>
    </w:pPr>
    <w:rPr>
      <w:i/>
      <w:iCs/>
      <w:color w:val="404040" w:themeColor="text1" w:themeTint="BF"/>
    </w:rPr>
  </w:style>
  <w:style w:type="character" w:customStyle="1" w:styleId="QuoteChar">
    <w:name w:val="Quote Char"/>
    <w:basedOn w:val="DefaultParagraphFont"/>
    <w:link w:val="Quote"/>
    <w:uiPriority w:val="29"/>
    <w:rsid w:val="00717A3D"/>
    <w:rPr>
      <w:i/>
      <w:iCs/>
      <w:color w:val="404040" w:themeColor="text1" w:themeTint="BF"/>
    </w:rPr>
  </w:style>
  <w:style w:type="paragraph" w:styleId="ListParagraph">
    <w:name w:val="List Paragraph"/>
    <w:basedOn w:val="Normal"/>
    <w:uiPriority w:val="34"/>
    <w:qFormat/>
    <w:rsid w:val="00717A3D"/>
    <w:pPr>
      <w:ind w:left="720"/>
      <w:contextualSpacing/>
    </w:pPr>
  </w:style>
  <w:style w:type="character" w:styleId="IntenseEmphasis">
    <w:name w:val="Intense Emphasis"/>
    <w:basedOn w:val="DefaultParagraphFont"/>
    <w:uiPriority w:val="21"/>
    <w:qFormat/>
    <w:rsid w:val="00717A3D"/>
    <w:rPr>
      <w:i/>
      <w:iCs/>
      <w:color w:val="0F4761" w:themeColor="accent1" w:themeShade="BF"/>
    </w:rPr>
  </w:style>
  <w:style w:type="paragraph" w:styleId="IntenseQuote">
    <w:name w:val="Intense Quote"/>
    <w:basedOn w:val="Normal"/>
    <w:next w:val="Normal"/>
    <w:link w:val="IntenseQuoteChar"/>
    <w:uiPriority w:val="30"/>
    <w:qFormat/>
    <w:rsid w:val="0071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A3D"/>
    <w:rPr>
      <w:i/>
      <w:iCs/>
      <w:color w:val="0F4761" w:themeColor="accent1" w:themeShade="BF"/>
    </w:rPr>
  </w:style>
  <w:style w:type="character" w:styleId="IntenseReference">
    <w:name w:val="Intense Reference"/>
    <w:basedOn w:val="DefaultParagraphFont"/>
    <w:uiPriority w:val="32"/>
    <w:qFormat/>
    <w:rsid w:val="00717A3D"/>
    <w:rPr>
      <w:b/>
      <w:bCs/>
      <w:smallCaps/>
      <w:color w:val="0F4761" w:themeColor="accent1" w:themeShade="BF"/>
      <w:spacing w:val="5"/>
    </w:rPr>
  </w:style>
  <w:style w:type="paragraph" w:styleId="NormalWeb">
    <w:name w:val="Normal (Web)"/>
    <w:basedOn w:val="Normal"/>
    <w:uiPriority w:val="99"/>
    <w:semiHidden/>
    <w:unhideWhenUsed/>
    <w:rsid w:val="000B2AD6"/>
    <w:rPr>
      <w:rFonts w:ascii="Times New Roman" w:hAnsi="Times New Roman" w:cs="Times New Roman"/>
    </w:rPr>
  </w:style>
  <w:style w:type="character" w:styleId="Hyperlink">
    <w:name w:val="Hyperlink"/>
    <w:basedOn w:val="DefaultParagraphFont"/>
    <w:uiPriority w:val="99"/>
    <w:unhideWhenUsed/>
    <w:rsid w:val="00B96EAC"/>
    <w:rPr>
      <w:color w:val="467886" w:themeColor="hyperlink"/>
      <w:u w:val="single"/>
    </w:rPr>
  </w:style>
  <w:style w:type="character" w:styleId="UnresolvedMention">
    <w:name w:val="Unresolved Mention"/>
    <w:basedOn w:val="DefaultParagraphFont"/>
    <w:uiPriority w:val="99"/>
    <w:semiHidden/>
    <w:unhideWhenUsed/>
    <w:rsid w:val="00B96EAC"/>
    <w:rPr>
      <w:color w:val="605E5C"/>
      <w:shd w:val="clear" w:color="auto" w:fill="E1DFDD"/>
    </w:rPr>
  </w:style>
  <w:style w:type="character" w:styleId="FollowedHyperlink">
    <w:name w:val="FollowedHyperlink"/>
    <w:basedOn w:val="DefaultParagraphFont"/>
    <w:uiPriority w:val="99"/>
    <w:semiHidden/>
    <w:unhideWhenUsed/>
    <w:rsid w:val="00B96EAC"/>
    <w:rPr>
      <w:color w:val="96607D" w:themeColor="followedHyperlink"/>
      <w:u w:val="single"/>
    </w:rPr>
  </w:style>
  <w:style w:type="paragraph" w:styleId="FootnoteText">
    <w:name w:val="footnote text"/>
    <w:basedOn w:val="Normal"/>
    <w:link w:val="FootnoteTextChar"/>
    <w:uiPriority w:val="99"/>
    <w:semiHidden/>
    <w:unhideWhenUsed/>
    <w:rsid w:val="00403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82D"/>
    <w:rPr>
      <w:sz w:val="20"/>
      <w:szCs w:val="20"/>
    </w:rPr>
  </w:style>
  <w:style w:type="character" w:styleId="FootnoteReference">
    <w:name w:val="footnote reference"/>
    <w:basedOn w:val="DefaultParagraphFont"/>
    <w:uiPriority w:val="99"/>
    <w:semiHidden/>
    <w:unhideWhenUsed/>
    <w:rsid w:val="0040382D"/>
    <w:rPr>
      <w:vertAlign w:val="superscript"/>
    </w:rPr>
  </w:style>
  <w:style w:type="character" w:styleId="Strong">
    <w:name w:val="Strong"/>
    <w:basedOn w:val="DefaultParagraphFont"/>
    <w:uiPriority w:val="22"/>
    <w:qFormat/>
    <w:rsid w:val="00F827D5"/>
    <w:rPr>
      <w:b/>
      <w:bCs/>
    </w:rPr>
  </w:style>
  <w:style w:type="paragraph" w:styleId="Header">
    <w:name w:val="header"/>
    <w:basedOn w:val="Normal"/>
    <w:link w:val="HeaderChar"/>
    <w:rsid w:val="005C58F1"/>
    <w:pPr>
      <w:tabs>
        <w:tab w:val="center" w:pos="4320"/>
        <w:tab w:val="right" w:pos="8640"/>
      </w:tabs>
      <w:spacing w:after="0" w:line="240" w:lineRule="auto"/>
    </w:pPr>
    <w:rPr>
      <w:rFonts w:ascii="GillSans" w:eastAsia="Times New Roman" w:hAnsi="GillSans" w:cs="Times New Roman"/>
      <w:kern w:val="0"/>
      <w:sz w:val="20"/>
      <w:szCs w:val="20"/>
      <w14:ligatures w14:val="none"/>
    </w:rPr>
  </w:style>
  <w:style w:type="character" w:customStyle="1" w:styleId="HeaderChar">
    <w:name w:val="Header Char"/>
    <w:basedOn w:val="DefaultParagraphFont"/>
    <w:link w:val="Header"/>
    <w:rsid w:val="005C58F1"/>
    <w:rPr>
      <w:rFonts w:ascii="GillSans" w:eastAsia="Times New Roman" w:hAnsi="GillSans" w:cs="Times New Roman"/>
      <w:kern w:val="0"/>
      <w:sz w:val="20"/>
      <w:szCs w:val="20"/>
      <w14:ligatures w14:val="none"/>
    </w:rPr>
  </w:style>
  <w:style w:type="character" w:styleId="CommentReference">
    <w:name w:val="annotation reference"/>
    <w:basedOn w:val="DefaultParagraphFont"/>
    <w:uiPriority w:val="99"/>
    <w:semiHidden/>
    <w:unhideWhenUsed/>
    <w:rsid w:val="005C58F1"/>
    <w:rPr>
      <w:sz w:val="16"/>
      <w:szCs w:val="16"/>
    </w:rPr>
  </w:style>
  <w:style w:type="paragraph" w:styleId="CommentText">
    <w:name w:val="annotation text"/>
    <w:basedOn w:val="Normal"/>
    <w:link w:val="CommentTextChar"/>
    <w:uiPriority w:val="99"/>
    <w:unhideWhenUsed/>
    <w:rsid w:val="005C58F1"/>
    <w:pPr>
      <w:spacing w:line="240" w:lineRule="auto"/>
    </w:pPr>
    <w:rPr>
      <w:sz w:val="20"/>
      <w:szCs w:val="20"/>
    </w:rPr>
  </w:style>
  <w:style w:type="character" w:customStyle="1" w:styleId="CommentTextChar">
    <w:name w:val="Comment Text Char"/>
    <w:basedOn w:val="DefaultParagraphFont"/>
    <w:link w:val="CommentText"/>
    <w:uiPriority w:val="99"/>
    <w:rsid w:val="005C58F1"/>
    <w:rPr>
      <w:sz w:val="20"/>
      <w:szCs w:val="20"/>
    </w:rPr>
  </w:style>
  <w:style w:type="table" w:styleId="TableGrid">
    <w:name w:val="Table Grid"/>
    <w:basedOn w:val="TableNormal"/>
    <w:uiPriority w:val="39"/>
    <w:rsid w:val="005C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5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A6"/>
    <w:rPr>
      <w:noProof/>
    </w:rPr>
  </w:style>
  <w:style w:type="paragraph" w:styleId="Revision">
    <w:name w:val="Revision"/>
    <w:hidden/>
    <w:uiPriority w:val="99"/>
    <w:semiHidden/>
    <w:rsid w:val="00ED1FAA"/>
    <w:pPr>
      <w:spacing w:after="0" w:line="240" w:lineRule="auto"/>
    </w:pPr>
  </w:style>
  <w:style w:type="paragraph" w:styleId="CommentSubject">
    <w:name w:val="annotation subject"/>
    <w:basedOn w:val="CommentText"/>
    <w:next w:val="CommentText"/>
    <w:link w:val="CommentSubjectChar"/>
    <w:uiPriority w:val="99"/>
    <w:semiHidden/>
    <w:unhideWhenUsed/>
    <w:rsid w:val="00ED1FAA"/>
    <w:rPr>
      <w:b/>
      <w:bCs/>
    </w:rPr>
  </w:style>
  <w:style w:type="character" w:customStyle="1" w:styleId="CommentSubjectChar">
    <w:name w:val="Comment Subject Char"/>
    <w:basedOn w:val="CommentTextChar"/>
    <w:link w:val="CommentSubject"/>
    <w:uiPriority w:val="99"/>
    <w:semiHidden/>
    <w:rsid w:val="00ED1F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74/37/cont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1974/37/cont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92/2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DFEE24A904E458E4508602557BE3E" ma:contentTypeVersion="9" ma:contentTypeDescription="Create a new document." ma:contentTypeScope="" ma:versionID="7483e04f1f988ad83424df840bf217aa">
  <xsd:schema xmlns:xsd="http://www.w3.org/2001/XMLSchema" xmlns:xs="http://www.w3.org/2001/XMLSchema" xmlns:p="http://schemas.microsoft.com/office/2006/metadata/properties" xmlns:ns2="24489298-ba35-4aa2-b6ae-c6529e926da7" targetNamespace="http://schemas.microsoft.com/office/2006/metadata/properties" ma:root="true" ma:fieldsID="9a11e115571937cae1203c54add2521f" ns2:_="">
    <xsd:import namespace="24489298-ba35-4aa2-b6ae-c6529e926d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9298-ba35-4aa2-b6ae-c6529e92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489298-ba35-4aa2-b6ae-c6529e926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AF33C-988B-40D7-A761-04E890740B8A}">
  <ds:schemaRefs>
    <ds:schemaRef ds:uri="http://schemas.microsoft.com/sharepoint/v3/contenttype/forms"/>
  </ds:schemaRefs>
</ds:datastoreItem>
</file>

<file path=customXml/itemProps2.xml><?xml version="1.0" encoding="utf-8"?>
<ds:datastoreItem xmlns:ds="http://schemas.openxmlformats.org/officeDocument/2006/customXml" ds:itemID="{A24087DB-D7EE-4ED2-8EBF-2E87A12E9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9298-ba35-4aa2-b6ae-c6529e926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DD1A-B84F-484F-9E3B-AF7B84A13A19}">
  <ds:schemaRefs>
    <ds:schemaRef ds:uri="http://schemas.openxmlformats.org/officeDocument/2006/bibliography"/>
  </ds:schemaRefs>
</ds:datastoreItem>
</file>

<file path=customXml/itemProps4.xml><?xml version="1.0" encoding="utf-8"?>
<ds:datastoreItem xmlns:ds="http://schemas.openxmlformats.org/officeDocument/2006/customXml" ds:itemID="{7C5A15F3-158D-4F0F-A4BA-67E00841FD8B}">
  <ds:schemaRefs>
    <ds:schemaRef ds:uri="http://schemas.microsoft.com/office/2006/metadata/properties"/>
    <ds:schemaRef ds:uri="http://schemas.microsoft.com/office/infopath/2007/PartnerControls"/>
    <ds:schemaRef ds:uri="24489298-ba35-4aa2-b6ae-c6529e926da7"/>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1965</Words>
  <Characters>10593</Characters>
  <Application>Microsoft Office Word</Application>
  <DocSecurity>0</DocSecurity>
  <Lines>311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Akbas</dc:creator>
  <cp:keywords/>
  <dc:description/>
  <cp:lastModifiedBy>Irem Akbas</cp:lastModifiedBy>
  <cp:revision>52</cp:revision>
  <dcterms:created xsi:type="dcterms:W3CDTF">2026-02-27T12:34:00Z</dcterms:created>
  <dcterms:modified xsi:type="dcterms:W3CDTF">2026-04-30T15:57:00Z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0x0101008A1DFEE24A904E458E4508602557BE3E</vt:lpwstr>
  </property>
  <property fmtid="{D5CDD505-2E9C-101B-9397-08002B2CF9AE}" pid="3" name="MediaServiceImageTags">
    <vt:lpwstr/>
  </property>
</Properties>
</file>